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新宋体" w:hAnsi="新宋体" w:eastAsia="新宋体"/>
          <w:b/>
          <w:color w:val="000000"/>
          <w:sz w:val="44"/>
          <w:szCs w:val="44"/>
        </w:rPr>
      </w:pPr>
    </w:p>
    <w:p>
      <w:pPr>
        <w:jc w:val="center"/>
        <w:rPr>
          <w:rFonts w:ascii="新宋体" w:hAnsi="新宋体" w:eastAsia="新宋体"/>
          <w:b/>
          <w:color w:val="000000"/>
          <w:sz w:val="44"/>
          <w:szCs w:val="44"/>
        </w:rPr>
      </w:pPr>
      <w:r>
        <w:rPr>
          <w:rFonts w:hint="eastAsia" w:ascii="新宋体" w:hAnsi="新宋体" w:eastAsia="新宋体"/>
          <w:b/>
          <w:color w:val="000000"/>
          <w:sz w:val="44"/>
          <w:szCs w:val="44"/>
        </w:rPr>
        <w:t>江苏如皋农村商业银行股份有限公司</w:t>
      </w:r>
    </w:p>
    <w:p>
      <w:pPr>
        <w:rPr>
          <w:rFonts w:ascii="新宋体" w:hAnsi="新宋体" w:eastAsia="新宋体"/>
          <w:color w:val="000000"/>
          <w:sz w:val="44"/>
          <w:szCs w:val="44"/>
        </w:rPr>
      </w:pPr>
    </w:p>
    <w:p>
      <w:pPr>
        <w:rPr>
          <w:rFonts w:ascii="新宋体" w:hAnsi="新宋体" w:eastAsia="新宋体"/>
          <w:color w:val="000000"/>
          <w:sz w:val="44"/>
          <w:szCs w:val="44"/>
        </w:rPr>
      </w:pPr>
      <w:bookmarkStart w:id="0" w:name="_Toc312695455"/>
      <w:bookmarkStart w:id="1" w:name="_Toc313483541"/>
      <w:bookmarkStart w:id="2" w:name="_Toc312695270"/>
    </w:p>
    <w:p>
      <w:pPr>
        <w:jc w:val="center"/>
        <w:rPr>
          <w:rFonts w:ascii="新宋体" w:hAnsi="新宋体" w:eastAsia="新宋体"/>
          <w:b/>
          <w:color w:val="000000"/>
          <w:sz w:val="44"/>
          <w:szCs w:val="44"/>
        </w:rPr>
      </w:pPr>
    </w:p>
    <w:p>
      <w:pPr>
        <w:jc w:val="center"/>
        <w:rPr>
          <w:rFonts w:ascii="新宋体" w:hAnsi="新宋体" w:eastAsia="新宋体"/>
          <w:b/>
          <w:color w:val="000000"/>
          <w:sz w:val="44"/>
          <w:szCs w:val="44"/>
        </w:rPr>
      </w:pPr>
      <w:r>
        <w:rPr>
          <w:rFonts w:hint="eastAsia" w:ascii="新宋体" w:hAnsi="新宋体" w:eastAsia="新宋体"/>
          <w:b/>
          <w:color w:val="000000"/>
          <w:sz w:val="44"/>
          <w:szCs w:val="44"/>
          <w:lang w:eastAsia="zh-CN"/>
        </w:rPr>
        <w:t>招</w:t>
      </w:r>
      <w:r>
        <w:rPr>
          <w:rFonts w:hint="eastAsia" w:ascii="新宋体" w:hAnsi="新宋体" w:eastAsia="新宋体"/>
          <w:b/>
          <w:color w:val="000000"/>
          <w:sz w:val="44"/>
          <w:szCs w:val="44"/>
        </w:rPr>
        <w:t xml:space="preserve">   标  文   件</w:t>
      </w:r>
      <w:bookmarkEnd w:id="0"/>
      <w:bookmarkEnd w:id="1"/>
      <w:bookmarkEnd w:id="2"/>
    </w:p>
    <w:p>
      <w:pPr>
        <w:rPr>
          <w:rFonts w:ascii="新宋体" w:hAnsi="新宋体" w:eastAsia="新宋体"/>
          <w:color w:val="000000"/>
          <w:sz w:val="30"/>
        </w:rPr>
      </w:pPr>
    </w:p>
    <w:p>
      <w:pPr>
        <w:rPr>
          <w:rFonts w:ascii="新宋体" w:hAnsi="新宋体" w:eastAsia="新宋体"/>
          <w:color w:val="000000"/>
          <w:sz w:val="30"/>
        </w:rPr>
      </w:pPr>
    </w:p>
    <w:p>
      <w:pPr>
        <w:jc w:val="center"/>
        <w:rPr>
          <w:rFonts w:ascii="新宋体" w:hAnsi="新宋体" w:eastAsia="新宋体"/>
          <w:color w:val="000000"/>
          <w:sz w:val="30"/>
          <w:szCs w:val="30"/>
        </w:rPr>
      </w:pPr>
      <w:r>
        <w:rPr>
          <w:rFonts w:hint="eastAsia" w:ascii="新宋体" w:hAnsi="新宋体" w:eastAsia="新宋体"/>
          <w:color w:val="000000"/>
          <w:sz w:val="30"/>
          <w:szCs w:val="30"/>
        </w:rPr>
        <w:t>招标</w:t>
      </w:r>
      <w:r>
        <w:rPr>
          <w:rFonts w:ascii="新宋体" w:hAnsi="新宋体" w:eastAsia="新宋体"/>
          <w:color w:val="000000"/>
          <w:sz w:val="30"/>
          <w:szCs w:val="30"/>
        </w:rPr>
        <w:t>编号：</w:t>
      </w:r>
    </w:p>
    <w:p>
      <w:pPr>
        <w:jc w:val="center"/>
        <w:rPr>
          <w:rFonts w:ascii="新宋体" w:hAnsi="新宋体" w:eastAsia="新宋体"/>
          <w:color w:val="000000"/>
          <w:sz w:val="36"/>
          <w:szCs w:val="36"/>
        </w:rPr>
      </w:pPr>
      <w:bookmarkStart w:id="3" w:name="_Toc312695456"/>
      <w:bookmarkStart w:id="4" w:name="_Toc313483542"/>
      <w:bookmarkStart w:id="5" w:name="_Toc312695271"/>
    </w:p>
    <w:bookmarkEnd w:id="3"/>
    <w:bookmarkEnd w:id="4"/>
    <w:bookmarkEnd w:id="5"/>
    <w:p>
      <w:pPr>
        <w:ind w:firstLine="2249" w:firstLineChars="700"/>
        <w:rPr>
          <w:rFonts w:ascii="新宋体" w:hAnsi="新宋体" w:eastAsia="新宋体"/>
          <w:b/>
          <w:color w:val="000000"/>
          <w:sz w:val="32"/>
          <w:szCs w:val="32"/>
        </w:rPr>
      </w:pPr>
    </w:p>
    <w:p>
      <w:pPr>
        <w:ind w:firstLine="1124" w:firstLineChars="350"/>
        <w:rPr>
          <w:rFonts w:ascii="新宋体" w:hAnsi="新宋体" w:eastAsia="新宋体"/>
          <w:b/>
          <w:color w:val="000000"/>
          <w:sz w:val="32"/>
          <w:szCs w:val="32"/>
        </w:rPr>
      </w:pPr>
    </w:p>
    <w:p>
      <w:pPr>
        <w:ind w:firstLine="321" w:firstLineChars="100"/>
        <w:jc w:val="left"/>
        <w:rPr>
          <w:rFonts w:ascii="新宋体" w:hAnsi="新宋体" w:eastAsia="新宋体"/>
          <w:b/>
          <w:color w:val="000000"/>
          <w:sz w:val="32"/>
          <w:szCs w:val="32"/>
        </w:rPr>
      </w:pPr>
      <w:r>
        <w:rPr>
          <w:rFonts w:hint="eastAsia" w:ascii="新宋体" w:hAnsi="新宋体" w:eastAsia="新宋体"/>
          <w:b/>
          <w:color w:val="000000"/>
          <w:sz w:val="32"/>
          <w:szCs w:val="32"/>
        </w:rPr>
        <w:t>项目名称：江苏</w:t>
      </w:r>
      <w:r>
        <w:rPr>
          <w:rFonts w:ascii="新宋体" w:hAnsi="新宋体" w:eastAsia="新宋体"/>
          <w:b/>
          <w:color w:val="000000"/>
          <w:sz w:val="32"/>
          <w:szCs w:val="32"/>
        </w:rPr>
        <w:t>如皋农村</w:t>
      </w:r>
      <w:r>
        <w:rPr>
          <w:rFonts w:hint="eastAsia" w:ascii="新宋体" w:hAnsi="新宋体" w:eastAsia="新宋体"/>
          <w:b/>
          <w:color w:val="000000"/>
          <w:sz w:val="32"/>
          <w:szCs w:val="32"/>
        </w:rPr>
        <w:t>商业</w:t>
      </w:r>
      <w:r>
        <w:rPr>
          <w:rFonts w:ascii="新宋体" w:hAnsi="新宋体" w:eastAsia="新宋体"/>
          <w:b/>
          <w:color w:val="000000"/>
          <w:sz w:val="32"/>
          <w:szCs w:val="32"/>
        </w:rPr>
        <w:t>银行</w:t>
      </w:r>
      <w:r>
        <w:rPr>
          <w:rFonts w:hint="eastAsia" w:ascii="新宋体" w:hAnsi="新宋体" w:eastAsia="新宋体"/>
          <w:b/>
          <w:color w:val="000000"/>
          <w:sz w:val="32"/>
          <w:szCs w:val="32"/>
        </w:rPr>
        <w:t>股份</w:t>
      </w:r>
      <w:r>
        <w:rPr>
          <w:rFonts w:ascii="新宋体" w:hAnsi="新宋体" w:eastAsia="新宋体"/>
          <w:b/>
          <w:color w:val="000000"/>
          <w:sz w:val="32"/>
          <w:szCs w:val="32"/>
        </w:rPr>
        <w:t>有限公司</w:t>
      </w:r>
    </w:p>
    <w:p>
      <w:pPr>
        <w:jc w:val="center"/>
        <w:rPr>
          <w:rFonts w:ascii="新宋体" w:hAnsi="新宋体" w:eastAsia="新宋体"/>
          <w:b/>
          <w:color w:val="000000"/>
          <w:sz w:val="32"/>
          <w:szCs w:val="32"/>
        </w:rPr>
      </w:pPr>
    </w:p>
    <w:p>
      <w:pPr>
        <w:jc w:val="center"/>
        <w:rPr>
          <w:rFonts w:ascii="新宋体" w:hAnsi="新宋体" w:eastAsia="新宋体"/>
          <w:b/>
          <w:color w:val="000000"/>
          <w:sz w:val="32"/>
          <w:szCs w:val="32"/>
        </w:rPr>
      </w:pPr>
      <w:r>
        <w:rPr>
          <w:rFonts w:hint="eastAsia" w:ascii="新宋体" w:hAnsi="新宋体" w:eastAsia="新宋体"/>
          <w:b/>
          <w:color w:val="000000"/>
          <w:sz w:val="32"/>
          <w:szCs w:val="32"/>
        </w:rPr>
        <w:t xml:space="preserve">       北塔智慧运维</w:t>
      </w:r>
      <w:r>
        <w:rPr>
          <w:rFonts w:ascii="新宋体" w:hAnsi="新宋体" w:eastAsia="新宋体"/>
          <w:b/>
          <w:color w:val="000000"/>
          <w:sz w:val="32"/>
          <w:szCs w:val="32"/>
        </w:rPr>
        <w:t>管理平台</w:t>
      </w:r>
      <w:r>
        <w:rPr>
          <w:rFonts w:hint="eastAsia" w:ascii="新宋体" w:hAnsi="新宋体" w:eastAsia="新宋体"/>
          <w:b/>
          <w:color w:val="000000"/>
          <w:sz w:val="32"/>
          <w:szCs w:val="32"/>
        </w:rPr>
        <w:t>采购项目与</w:t>
      </w:r>
      <w:r>
        <w:rPr>
          <w:rFonts w:ascii="新宋体" w:hAnsi="新宋体" w:eastAsia="新宋体"/>
          <w:b/>
          <w:color w:val="000000"/>
          <w:sz w:val="32"/>
          <w:szCs w:val="32"/>
        </w:rPr>
        <w:t>集成服务项目</w:t>
      </w:r>
    </w:p>
    <w:p>
      <w:pPr>
        <w:jc w:val="center"/>
        <w:rPr>
          <w:rFonts w:ascii="新宋体" w:hAnsi="新宋体" w:eastAsia="新宋体"/>
          <w:color w:val="000000"/>
          <w:sz w:val="36"/>
          <w:szCs w:val="36"/>
        </w:rPr>
      </w:pPr>
    </w:p>
    <w:p>
      <w:pPr>
        <w:rPr>
          <w:rFonts w:ascii="新宋体" w:hAnsi="新宋体" w:eastAsia="新宋体"/>
          <w:color w:val="000000"/>
          <w:sz w:val="30"/>
          <w:szCs w:val="30"/>
        </w:rPr>
      </w:pPr>
    </w:p>
    <w:p>
      <w:pPr>
        <w:rPr>
          <w:rFonts w:ascii="新宋体" w:hAnsi="新宋体" w:eastAsia="新宋体"/>
          <w:color w:val="000000"/>
        </w:rPr>
      </w:pPr>
    </w:p>
    <w:p>
      <w:pPr>
        <w:rPr>
          <w:rFonts w:ascii="新宋体" w:hAnsi="新宋体" w:eastAsia="新宋体"/>
          <w:color w:val="000000"/>
          <w:sz w:val="30"/>
        </w:rPr>
      </w:pPr>
    </w:p>
    <w:p>
      <w:pPr>
        <w:rPr>
          <w:rFonts w:ascii="新宋体" w:hAnsi="新宋体" w:eastAsia="新宋体"/>
          <w:color w:val="000000"/>
          <w:sz w:val="30"/>
        </w:rPr>
      </w:pPr>
    </w:p>
    <w:p>
      <w:pPr>
        <w:rPr>
          <w:rFonts w:ascii="新宋体" w:hAnsi="新宋体" w:eastAsia="新宋体"/>
          <w:color w:val="000000"/>
          <w:sz w:val="30"/>
        </w:rPr>
      </w:pPr>
    </w:p>
    <w:p>
      <w:pPr>
        <w:ind w:firstLine="964" w:firstLineChars="300"/>
        <w:jc w:val="left"/>
        <w:rPr>
          <w:rFonts w:ascii="新宋体" w:hAnsi="新宋体" w:eastAsia="新宋体"/>
          <w:b/>
          <w:color w:val="000000"/>
          <w:sz w:val="32"/>
          <w:szCs w:val="32"/>
        </w:rPr>
      </w:pPr>
      <w:r>
        <w:rPr>
          <w:rFonts w:hint="eastAsia" w:ascii="新宋体" w:hAnsi="新宋体" w:eastAsia="新宋体"/>
          <w:b/>
          <w:color w:val="000000"/>
          <w:sz w:val="32"/>
          <w:szCs w:val="32"/>
        </w:rPr>
        <w:t>招 标 人：江苏如皋农村商业银行股份有限公司</w:t>
      </w:r>
    </w:p>
    <w:p>
      <w:pPr>
        <w:jc w:val="center"/>
        <w:rPr>
          <w:rFonts w:ascii="新宋体" w:hAnsi="新宋体" w:eastAsia="新宋体"/>
          <w:b/>
          <w:color w:val="000000"/>
          <w:sz w:val="32"/>
          <w:szCs w:val="32"/>
        </w:rPr>
      </w:pPr>
    </w:p>
    <w:p>
      <w:pPr>
        <w:ind w:firstLine="964" w:firstLineChars="300"/>
        <w:rPr>
          <w:rFonts w:ascii="新宋体" w:hAnsi="新宋体" w:eastAsia="新宋体"/>
          <w:b/>
          <w:color w:val="000000"/>
          <w:sz w:val="32"/>
          <w:szCs w:val="32"/>
        </w:rPr>
      </w:pPr>
      <w:r>
        <w:rPr>
          <w:rFonts w:hint="eastAsia" w:ascii="新宋体" w:hAnsi="新宋体" w:eastAsia="新宋体"/>
          <w:b/>
          <w:color w:val="000000"/>
          <w:sz w:val="32"/>
          <w:szCs w:val="32"/>
        </w:rPr>
        <w:t>时    间： 201</w:t>
      </w:r>
      <w:r>
        <w:rPr>
          <w:rFonts w:ascii="新宋体" w:hAnsi="新宋体" w:eastAsia="新宋体"/>
          <w:b/>
          <w:color w:val="000000"/>
          <w:sz w:val="32"/>
          <w:szCs w:val="32"/>
        </w:rPr>
        <w:t>9</w:t>
      </w:r>
      <w:r>
        <w:rPr>
          <w:rFonts w:hint="eastAsia" w:ascii="新宋体" w:hAnsi="新宋体" w:eastAsia="新宋体"/>
          <w:b/>
          <w:color w:val="000000"/>
          <w:sz w:val="32"/>
          <w:szCs w:val="32"/>
        </w:rPr>
        <w:t xml:space="preserve">年 </w:t>
      </w:r>
      <w:r>
        <w:rPr>
          <w:rFonts w:hint="default" w:ascii="新宋体" w:hAnsi="新宋体" w:eastAsia="新宋体"/>
          <w:b/>
          <w:color w:val="000000"/>
          <w:sz w:val="32"/>
          <w:szCs w:val="32"/>
          <w:lang w:val="en-US"/>
        </w:rPr>
        <w:t>7</w:t>
      </w:r>
      <w:r>
        <w:rPr>
          <w:rFonts w:hint="eastAsia" w:ascii="新宋体" w:hAnsi="新宋体" w:eastAsia="新宋体"/>
          <w:b/>
          <w:color w:val="000000"/>
          <w:sz w:val="32"/>
          <w:szCs w:val="32"/>
        </w:rPr>
        <w:t xml:space="preserve"> 月 </w:t>
      </w:r>
      <w:r>
        <w:rPr>
          <w:rFonts w:hint="default" w:ascii="新宋体" w:hAnsi="新宋体" w:eastAsia="新宋体"/>
          <w:b/>
          <w:color w:val="000000"/>
          <w:sz w:val="32"/>
          <w:szCs w:val="32"/>
          <w:lang w:val="en-US"/>
        </w:rPr>
        <w:t>5</w:t>
      </w:r>
      <w:r>
        <w:rPr>
          <w:rFonts w:hint="eastAsia" w:ascii="新宋体" w:hAnsi="新宋体" w:eastAsia="新宋体"/>
          <w:b/>
          <w:color w:val="000000"/>
          <w:sz w:val="32"/>
          <w:szCs w:val="32"/>
        </w:rPr>
        <w:t xml:space="preserve">  日</w:t>
      </w:r>
    </w:p>
    <w:p>
      <w:pPr>
        <w:pStyle w:val="18"/>
        <w:keepLines/>
        <w:widowControl/>
        <w:spacing w:before="120" w:after="120"/>
        <w:jc w:val="center"/>
        <w:rPr>
          <w:rFonts w:ascii="新宋体" w:hAnsi="新宋体" w:eastAsia="新宋体"/>
          <w:color w:val="000000"/>
        </w:rPr>
        <w:sectPr>
          <w:headerReference r:id="rId5" w:type="first"/>
          <w:headerReference r:id="rId3" w:type="default"/>
          <w:footerReference r:id="rId6" w:type="default"/>
          <w:headerReference r:id="rId4" w:type="even"/>
          <w:footerReference r:id="rId7" w:type="even"/>
          <w:pgSz w:w="11906" w:h="16838"/>
          <w:pgMar w:top="1440" w:right="1466" w:bottom="1440" w:left="1800" w:header="851" w:footer="992" w:gutter="0"/>
          <w:pgNumType w:start="1"/>
          <w:cols w:space="425" w:num="1"/>
          <w:titlePg/>
        </w:sectPr>
      </w:pPr>
    </w:p>
    <w:p>
      <w:pPr>
        <w:jc w:val="center"/>
        <w:rPr>
          <w:rFonts w:ascii="新宋体" w:hAnsi="新宋体" w:eastAsia="新宋体"/>
          <w:b/>
          <w:bCs/>
          <w:color w:val="000000"/>
          <w:spacing w:val="20"/>
          <w:sz w:val="30"/>
        </w:rPr>
      </w:pPr>
      <w:r>
        <w:rPr>
          <w:rFonts w:hint="eastAsia" w:ascii="新宋体" w:hAnsi="新宋体" w:eastAsia="新宋体"/>
          <w:b/>
          <w:bCs/>
          <w:color w:val="000000"/>
          <w:spacing w:val="20"/>
          <w:sz w:val="30"/>
        </w:rPr>
        <w:t>目 录</w:t>
      </w:r>
    </w:p>
    <w:p>
      <w:pPr>
        <w:pStyle w:val="23"/>
        <w:rPr>
          <w:rFonts w:asciiTheme="minorHAnsi" w:hAnsiTheme="minorHAnsi" w:eastAsiaTheme="minorEastAsia" w:cstheme="minorBidi"/>
          <w:b w:val="0"/>
          <w:bCs w:val="0"/>
          <w:caps w:val="0"/>
          <w:kern w:val="2"/>
          <w:sz w:val="21"/>
          <w:szCs w:val="22"/>
        </w:rPr>
      </w:pPr>
      <w:r>
        <w:rPr>
          <w:rFonts w:ascii="新宋体" w:hAnsi="新宋体" w:eastAsia="新宋体"/>
          <w:b w:val="0"/>
          <w:color w:val="000000"/>
        </w:rPr>
        <w:fldChar w:fldCharType="begin"/>
      </w:r>
      <w:r>
        <w:rPr>
          <w:rFonts w:ascii="新宋体" w:hAnsi="新宋体" w:eastAsia="新宋体"/>
          <w:b w:val="0"/>
          <w:color w:val="000000"/>
        </w:rPr>
        <w:instrText xml:space="preserve"> TOC \o "1-3" \h \z \u </w:instrText>
      </w:r>
      <w:r>
        <w:rPr>
          <w:rFonts w:ascii="新宋体" w:hAnsi="新宋体" w:eastAsia="新宋体"/>
          <w:b w:val="0"/>
          <w:color w:val="000000"/>
        </w:rPr>
        <w:fldChar w:fldCharType="separate"/>
      </w:r>
      <w:r>
        <w:fldChar w:fldCharType="begin"/>
      </w:r>
      <w:r>
        <w:instrText xml:space="preserve"> HYPERLINK \l "_Toc3215843" </w:instrText>
      </w:r>
      <w:r>
        <w:fldChar w:fldCharType="separate"/>
      </w:r>
      <w:r>
        <w:rPr>
          <w:rStyle w:val="31"/>
          <w:rFonts w:hint="eastAsia" w:ascii="新宋体" w:hAnsi="新宋体" w:eastAsia="新宋体"/>
        </w:rPr>
        <w:t>第一部分</w:t>
      </w:r>
      <w:r>
        <w:rPr>
          <w:rStyle w:val="31"/>
          <w:rFonts w:ascii="新宋体" w:hAnsi="新宋体" w:eastAsia="新宋体"/>
        </w:rPr>
        <w:t xml:space="preserve"> </w:t>
      </w:r>
      <w:r>
        <w:rPr>
          <w:rStyle w:val="31"/>
          <w:rFonts w:hint="eastAsia" w:ascii="新宋体" w:hAnsi="新宋体" w:eastAsia="新宋体"/>
        </w:rPr>
        <w:t>投标书</w:t>
      </w:r>
      <w:r>
        <w:tab/>
      </w:r>
      <w:r>
        <w:fldChar w:fldCharType="begin"/>
      </w:r>
      <w:r>
        <w:instrText xml:space="preserve"> PAGEREF _Toc3215843 \h </w:instrText>
      </w:r>
      <w:r>
        <w:fldChar w:fldCharType="separate"/>
      </w:r>
      <w:r>
        <w:t>- 4 -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"_Toc3215844" </w:instrText>
      </w:r>
      <w:r>
        <w:fldChar w:fldCharType="separate"/>
      </w:r>
      <w:r>
        <w:rPr>
          <w:rStyle w:val="31"/>
          <w:rFonts w:hint="eastAsia" w:ascii="新宋体" w:hAnsi="新宋体" w:eastAsia="新宋体"/>
        </w:rPr>
        <w:t>第二部分投标方须知</w:t>
      </w:r>
      <w:r>
        <w:tab/>
      </w:r>
      <w:r>
        <w:fldChar w:fldCharType="begin"/>
      </w:r>
      <w:r>
        <w:instrText xml:space="preserve"> PAGEREF _Toc3215844 \h </w:instrText>
      </w:r>
      <w:r>
        <w:fldChar w:fldCharType="separate"/>
      </w:r>
      <w:r>
        <w:t>- 5 -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"_Toc3215845" </w:instrText>
      </w:r>
      <w:r>
        <w:fldChar w:fldCharType="separate"/>
      </w:r>
      <w:r>
        <w:rPr>
          <w:rStyle w:val="31"/>
          <w:rFonts w:ascii="新宋体" w:hAnsi="新宋体" w:eastAsia="新宋体"/>
        </w:rPr>
        <w:t xml:space="preserve">A  </w:t>
      </w:r>
      <w:r>
        <w:rPr>
          <w:rStyle w:val="31"/>
          <w:rFonts w:hint="eastAsia" w:ascii="新宋体" w:hAnsi="新宋体" w:eastAsia="新宋体"/>
        </w:rPr>
        <w:t>说明</w:t>
      </w:r>
      <w:r>
        <w:tab/>
      </w:r>
      <w:r>
        <w:fldChar w:fldCharType="begin"/>
      </w:r>
      <w:r>
        <w:instrText xml:space="preserve"> PAGEREF _Toc3215845 \h </w:instrText>
      </w:r>
      <w:r>
        <w:fldChar w:fldCharType="separate"/>
      </w:r>
      <w:r>
        <w:t>- 5 -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"_Toc3215846" </w:instrText>
      </w:r>
      <w:r>
        <w:fldChar w:fldCharType="separate"/>
      </w:r>
      <w:r>
        <w:rPr>
          <w:rStyle w:val="31"/>
          <w:rFonts w:ascii="新宋体" w:hAnsi="新宋体" w:eastAsia="新宋体"/>
        </w:rPr>
        <w:t xml:space="preserve">B  </w:t>
      </w:r>
      <w:r>
        <w:rPr>
          <w:rStyle w:val="31"/>
          <w:rFonts w:hint="eastAsia" w:ascii="新宋体" w:hAnsi="新宋体" w:eastAsia="新宋体"/>
        </w:rPr>
        <w:t>招标文件说明</w:t>
      </w:r>
      <w:r>
        <w:tab/>
      </w:r>
      <w:r>
        <w:fldChar w:fldCharType="begin"/>
      </w:r>
      <w:r>
        <w:instrText xml:space="preserve"> PAGEREF _Toc3215846 \h </w:instrText>
      </w:r>
      <w:r>
        <w:fldChar w:fldCharType="separate"/>
      </w:r>
      <w:r>
        <w:t>- 5 -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"_Toc3215847" </w:instrText>
      </w:r>
      <w:r>
        <w:fldChar w:fldCharType="separate"/>
      </w:r>
      <w:r>
        <w:rPr>
          <w:rStyle w:val="31"/>
          <w:rFonts w:ascii="新宋体" w:hAnsi="新宋体" w:eastAsia="新宋体"/>
        </w:rPr>
        <w:t xml:space="preserve">C  </w:t>
      </w:r>
      <w:r>
        <w:rPr>
          <w:rStyle w:val="31"/>
          <w:rFonts w:hint="eastAsia" w:ascii="新宋体" w:hAnsi="新宋体" w:eastAsia="新宋体"/>
        </w:rPr>
        <w:t>投标文件的编写</w:t>
      </w:r>
      <w:r>
        <w:tab/>
      </w:r>
      <w:r>
        <w:fldChar w:fldCharType="begin"/>
      </w:r>
      <w:r>
        <w:instrText xml:space="preserve"> PAGEREF _Toc3215847 \h </w:instrText>
      </w:r>
      <w:r>
        <w:fldChar w:fldCharType="separate"/>
      </w:r>
      <w:r>
        <w:t>- 6 -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"_Toc3215848" </w:instrText>
      </w:r>
      <w:r>
        <w:fldChar w:fldCharType="separate"/>
      </w:r>
      <w:r>
        <w:rPr>
          <w:rStyle w:val="31"/>
          <w:rFonts w:ascii="新宋体" w:hAnsi="新宋体" w:eastAsia="新宋体"/>
        </w:rPr>
        <w:t xml:space="preserve">D  </w:t>
      </w:r>
      <w:r>
        <w:rPr>
          <w:rStyle w:val="31"/>
          <w:rFonts w:hint="eastAsia" w:ascii="新宋体" w:hAnsi="新宋体" w:eastAsia="新宋体"/>
        </w:rPr>
        <w:t>投标文件的递交</w:t>
      </w:r>
      <w:r>
        <w:tab/>
      </w:r>
      <w:r>
        <w:fldChar w:fldCharType="begin"/>
      </w:r>
      <w:r>
        <w:instrText xml:space="preserve"> PAGEREF _Toc3215848 \h </w:instrText>
      </w:r>
      <w:r>
        <w:fldChar w:fldCharType="separate"/>
      </w:r>
      <w:r>
        <w:t>- 7 -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"_Toc3215849" </w:instrText>
      </w:r>
      <w:r>
        <w:fldChar w:fldCharType="separate"/>
      </w:r>
      <w:r>
        <w:rPr>
          <w:rStyle w:val="31"/>
          <w:rFonts w:ascii="新宋体" w:hAnsi="新宋体" w:eastAsia="新宋体"/>
        </w:rPr>
        <w:t xml:space="preserve">E  </w:t>
      </w:r>
      <w:r>
        <w:rPr>
          <w:rStyle w:val="31"/>
          <w:rFonts w:hint="eastAsia" w:ascii="新宋体" w:hAnsi="新宋体" w:eastAsia="新宋体"/>
        </w:rPr>
        <w:t>开标和评标</w:t>
      </w:r>
      <w:r>
        <w:tab/>
      </w:r>
      <w:r>
        <w:fldChar w:fldCharType="begin"/>
      </w:r>
      <w:r>
        <w:instrText xml:space="preserve"> PAGEREF _Toc3215849 \h </w:instrText>
      </w:r>
      <w:r>
        <w:fldChar w:fldCharType="separate"/>
      </w:r>
      <w:r>
        <w:t>- 8 -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"_Toc3215850" </w:instrText>
      </w:r>
      <w:r>
        <w:fldChar w:fldCharType="separate"/>
      </w:r>
      <w:r>
        <w:rPr>
          <w:rStyle w:val="31"/>
          <w:rFonts w:ascii="新宋体" w:hAnsi="新宋体" w:eastAsia="新宋体"/>
        </w:rPr>
        <w:t xml:space="preserve">F  </w:t>
      </w:r>
      <w:r>
        <w:rPr>
          <w:rStyle w:val="31"/>
          <w:rFonts w:hint="eastAsia" w:ascii="新宋体" w:hAnsi="新宋体" w:eastAsia="新宋体"/>
        </w:rPr>
        <w:t>授予合同</w:t>
      </w:r>
      <w:r>
        <w:tab/>
      </w:r>
      <w:r>
        <w:fldChar w:fldCharType="begin"/>
      </w:r>
      <w:r>
        <w:instrText xml:space="preserve"> PAGEREF _Toc3215850 \h </w:instrText>
      </w:r>
      <w:r>
        <w:fldChar w:fldCharType="separate"/>
      </w:r>
      <w:r>
        <w:t>- 9 -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"_Toc3215851" </w:instrText>
      </w:r>
      <w:r>
        <w:fldChar w:fldCharType="separate"/>
      </w:r>
      <w:r>
        <w:rPr>
          <w:rStyle w:val="31"/>
          <w:rFonts w:hint="eastAsia" w:ascii="新宋体" w:hAnsi="新宋体" w:eastAsia="新宋体"/>
        </w:rPr>
        <w:t>第三部分</w:t>
      </w:r>
      <w:r>
        <w:rPr>
          <w:rStyle w:val="31"/>
          <w:rFonts w:ascii="新宋体" w:hAnsi="新宋体" w:eastAsia="新宋体"/>
        </w:rPr>
        <w:t xml:space="preserve">  </w:t>
      </w:r>
      <w:r>
        <w:rPr>
          <w:rStyle w:val="31"/>
          <w:rFonts w:hint="eastAsia" w:ascii="新宋体" w:hAnsi="新宋体" w:eastAsia="新宋体"/>
        </w:rPr>
        <w:t>合同模板</w:t>
      </w:r>
      <w:r>
        <w:tab/>
      </w:r>
      <w:r>
        <w:fldChar w:fldCharType="begin"/>
      </w:r>
      <w:r>
        <w:instrText xml:space="preserve"> PAGEREF _Toc3215851 \h </w:instrText>
      </w:r>
      <w:r>
        <w:fldChar w:fldCharType="separate"/>
      </w:r>
      <w:r>
        <w:t>- 10 -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"_Toc3215852" </w:instrText>
      </w:r>
      <w:r>
        <w:fldChar w:fldCharType="separate"/>
      </w:r>
      <w:r>
        <w:rPr>
          <w:rStyle w:val="31"/>
          <w:rFonts w:hint="eastAsia" w:ascii="新宋体" w:hAnsi="新宋体" w:eastAsia="新宋体"/>
        </w:rPr>
        <w:t>第四部分</w:t>
      </w:r>
      <w:r>
        <w:rPr>
          <w:rStyle w:val="31"/>
          <w:rFonts w:ascii="新宋体" w:hAnsi="新宋体" w:eastAsia="新宋体"/>
        </w:rPr>
        <w:t xml:space="preserve"> </w:t>
      </w:r>
      <w:r>
        <w:rPr>
          <w:rStyle w:val="31"/>
          <w:rFonts w:hint="eastAsia" w:ascii="新宋体" w:hAnsi="新宋体" w:eastAsia="新宋体"/>
        </w:rPr>
        <w:t>投标文件主要内容</w:t>
      </w:r>
      <w:r>
        <w:tab/>
      </w:r>
      <w:r>
        <w:fldChar w:fldCharType="begin"/>
      </w:r>
      <w:r>
        <w:instrText xml:space="preserve"> PAGEREF _Toc3215852 \h </w:instrText>
      </w:r>
      <w:r>
        <w:fldChar w:fldCharType="separate"/>
      </w:r>
      <w:r>
        <w:t>- 12 -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"_Toc3215853" </w:instrText>
      </w:r>
      <w:r>
        <w:fldChar w:fldCharType="separate"/>
      </w:r>
      <w:r>
        <w:rPr>
          <w:rStyle w:val="31"/>
          <w:rFonts w:hint="eastAsia" w:ascii="新宋体" w:hAnsi="新宋体" w:eastAsia="新宋体"/>
        </w:rPr>
        <w:t>第五部分</w:t>
      </w:r>
      <w:r>
        <w:rPr>
          <w:rStyle w:val="31"/>
          <w:rFonts w:ascii="新宋体" w:hAnsi="新宋体" w:eastAsia="新宋体"/>
        </w:rPr>
        <w:t xml:space="preserve"> </w:t>
      </w:r>
      <w:r>
        <w:rPr>
          <w:rStyle w:val="31"/>
          <w:rFonts w:hint="eastAsia" w:ascii="新宋体" w:hAnsi="新宋体" w:eastAsia="新宋体"/>
        </w:rPr>
        <w:t>北塔智慧运维管理平台采购及集成项目技术需求</w:t>
      </w:r>
      <w:r>
        <w:tab/>
      </w:r>
      <w:r>
        <w:fldChar w:fldCharType="begin"/>
      </w:r>
      <w:r>
        <w:instrText xml:space="preserve"> PAGEREF _Toc3215853 \h </w:instrText>
      </w:r>
      <w:r>
        <w:fldChar w:fldCharType="separate"/>
      </w:r>
      <w:r>
        <w:t>- 13 -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"_Toc3215854" </w:instrText>
      </w:r>
      <w:r>
        <w:fldChar w:fldCharType="separate"/>
      </w:r>
      <w:r>
        <w:rPr>
          <w:rStyle w:val="31"/>
          <w:rFonts w:hint="eastAsia" w:ascii="新宋体" w:hAnsi="新宋体" w:eastAsia="新宋体"/>
        </w:rPr>
        <w:t>第六部分</w:t>
      </w:r>
      <w:r>
        <w:rPr>
          <w:rStyle w:val="31"/>
          <w:rFonts w:ascii="新宋体" w:hAnsi="新宋体" w:eastAsia="新宋体"/>
        </w:rPr>
        <w:t xml:space="preserve"> </w:t>
      </w:r>
      <w:r>
        <w:rPr>
          <w:rStyle w:val="31"/>
          <w:rFonts w:hint="eastAsia" w:ascii="新宋体" w:hAnsi="新宋体" w:eastAsia="新宋体"/>
        </w:rPr>
        <w:t>北塔智慧运维管理平台采购与集成服务报价清单</w:t>
      </w:r>
      <w:r>
        <w:tab/>
      </w:r>
      <w:r>
        <w:fldChar w:fldCharType="begin"/>
      </w:r>
      <w:r>
        <w:instrText xml:space="preserve"> PAGEREF _Toc3215854 \h </w:instrText>
      </w:r>
      <w:r>
        <w:fldChar w:fldCharType="separate"/>
      </w:r>
      <w:r>
        <w:t>- 17 -</w:t>
      </w:r>
      <w:r>
        <w:fldChar w:fldCharType="end"/>
      </w:r>
      <w:r>
        <w:fldChar w:fldCharType="end"/>
      </w:r>
    </w:p>
    <w:p>
      <w:pPr>
        <w:pStyle w:val="23"/>
        <w:rPr>
          <w:rFonts w:asciiTheme="minorHAnsi" w:hAnsiTheme="minorHAnsi" w:eastAsiaTheme="minorEastAsia" w:cstheme="minorBidi"/>
          <w:b w:val="0"/>
          <w:bCs w:val="0"/>
          <w:caps w:val="0"/>
          <w:kern w:val="2"/>
          <w:sz w:val="21"/>
          <w:szCs w:val="22"/>
        </w:rPr>
      </w:pPr>
      <w:r>
        <w:fldChar w:fldCharType="begin"/>
      </w:r>
      <w:r>
        <w:instrText xml:space="preserve"> HYPERLINK \l "_Toc3215855" </w:instrText>
      </w:r>
      <w:r>
        <w:fldChar w:fldCharType="separate"/>
      </w:r>
      <w:r>
        <w:rPr>
          <w:rStyle w:val="31"/>
          <w:rFonts w:hint="eastAsia" w:ascii="新宋体" w:hAnsi="新宋体" w:eastAsia="新宋体"/>
        </w:rPr>
        <w:t>第七部分</w:t>
      </w:r>
      <w:r>
        <w:rPr>
          <w:rStyle w:val="31"/>
          <w:rFonts w:ascii="新宋体" w:hAnsi="新宋体" w:eastAsia="新宋体"/>
        </w:rPr>
        <w:t xml:space="preserve">  </w:t>
      </w:r>
      <w:r>
        <w:rPr>
          <w:rStyle w:val="31"/>
          <w:rFonts w:hint="eastAsia" w:ascii="新宋体" w:hAnsi="新宋体" w:eastAsia="新宋体"/>
        </w:rPr>
        <w:t>投标文件格式</w:t>
      </w:r>
      <w:r>
        <w:tab/>
      </w:r>
      <w:r>
        <w:fldChar w:fldCharType="begin"/>
      </w:r>
      <w:r>
        <w:instrText xml:space="preserve"> PAGEREF _Toc3215855 \h </w:instrText>
      </w:r>
      <w:r>
        <w:fldChar w:fldCharType="separate"/>
      </w:r>
      <w:r>
        <w:t>- 18 -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"_Toc3215856" </w:instrText>
      </w:r>
      <w:r>
        <w:fldChar w:fldCharType="separate"/>
      </w:r>
      <w:r>
        <w:rPr>
          <w:rStyle w:val="31"/>
          <w:rFonts w:hint="eastAsia" w:ascii="新宋体" w:hAnsi="新宋体" w:eastAsia="新宋体"/>
          <w:lang w:val="zh-CN"/>
        </w:rPr>
        <w:t>格式</w:t>
      </w:r>
      <w:r>
        <w:rPr>
          <w:rStyle w:val="31"/>
          <w:rFonts w:ascii="新宋体" w:hAnsi="新宋体" w:eastAsia="新宋体"/>
          <w:lang w:val="zh-CN"/>
        </w:rPr>
        <w:t>1</w:t>
      </w:r>
      <w:r>
        <w:rPr>
          <w:rStyle w:val="31"/>
          <w:rFonts w:hint="eastAsia" w:ascii="新宋体" w:hAnsi="新宋体" w:eastAsia="新宋体"/>
          <w:lang w:val="zh-CN"/>
        </w:rPr>
        <w:t>、（投标人）法人委托书</w:t>
      </w:r>
      <w:r>
        <w:tab/>
      </w:r>
      <w:r>
        <w:fldChar w:fldCharType="begin"/>
      </w:r>
      <w:r>
        <w:instrText xml:space="preserve"> PAGEREF _Toc3215856 \h </w:instrText>
      </w:r>
      <w:r>
        <w:fldChar w:fldCharType="separate"/>
      </w:r>
      <w:r>
        <w:t>- 19 -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"_Toc3215857" </w:instrText>
      </w:r>
      <w:r>
        <w:fldChar w:fldCharType="separate"/>
      </w:r>
      <w:r>
        <w:rPr>
          <w:rStyle w:val="31"/>
          <w:rFonts w:hint="eastAsia" w:ascii="新宋体" w:hAnsi="新宋体" w:eastAsia="新宋体"/>
          <w:lang w:val="zh-CN"/>
        </w:rPr>
        <w:t>格式</w:t>
      </w:r>
      <w:r>
        <w:rPr>
          <w:rStyle w:val="31"/>
          <w:rFonts w:ascii="新宋体" w:hAnsi="新宋体" w:eastAsia="新宋体"/>
          <w:lang w:val="zh-CN"/>
        </w:rPr>
        <w:t>2</w:t>
      </w:r>
      <w:r>
        <w:rPr>
          <w:rStyle w:val="31"/>
          <w:rFonts w:hint="eastAsia" w:ascii="新宋体" w:hAnsi="新宋体" w:eastAsia="新宋体"/>
          <w:lang w:val="zh-CN"/>
        </w:rPr>
        <w:t>、投标函</w:t>
      </w:r>
      <w:r>
        <w:tab/>
      </w:r>
      <w:r>
        <w:fldChar w:fldCharType="begin"/>
      </w:r>
      <w:r>
        <w:instrText xml:space="preserve"> PAGEREF _Toc3215857 \h </w:instrText>
      </w:r>
      <w:r>
        <w:fldChar w:fldCharType="separate"/>
      </w:r>
      <w:r>
        <w:t>- 20 -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"_Toc3215858" </w:instrText>
      </w:r>
      <w:r>
        <w:fldChar w:fldCharType="separate"/>
      </w:r>
      <w:r>
        <w:rPr>
          <w:rStyle w:val="31"/>
          <w:rFonts w:hint="eastAsia" w:ascii="新宋体" w:hAnsi="新宋体" w:eastAsia="新宋体"/>
          <w:lang w:val="zh-CN"/>
        </w:rPr>
        <w:t>格式</w:t>
      </w:r>
      <w:r>
        <w:rPr>
          <w:rStyle w:val="31"/>
          <w:rFonts w:ascii="新宋体" w:hAnsi="新宋体" w:eastAsia="新宋体"/>
          <w:lang w:val="zh-CN"/>
        </w:rPr>
        <w:t>3</w:t>
      </w:r>
      <w:r>
        <w:rPr>
          <w:rStyle w:val="31"/>
          <w:rFonts w:hint="eastAsia" w:ascii="新宋体" w:hAnsi="新宋体" w:eastAsia="新宋体"/>
          <w:lang w:val="zh-CN"/>
        </w:rPr>
        <w:t>、开标一览表格式</w:t>
      </w:r>
      <w:r>
        <w:tab/>
      </w:r>
      <w:r>
        <w:fldChar w:fldCharType="begin"/>
      </w:r>
      <w:r>
        <w:instrText xml:space="preserve"> PAGEREF _Toc3215858 \h </w:instrText>
      </w:r>
      <w:r>
        <w:fldChar w:fldCharType="separate"/>
      </w:r>
      <w:r>
        <w:t>- 21 -</w:t>
      </w:r>
      <w:r>
        <w:fldChar w:fldCharType="end"/>
      </w:r>
      <w:r>
        <w:fldChar w:fldCharType="end"/>
      </w:r>
    </w:p>
    <w:p>
      <w:pPr>
        <w:pStyle w:val="27"/>
        <w:tabs>
          <w:tab w:val="right" w:leader="dot" w:pos="9175"/>
        </w:tabs>
        <w:rPr>
          <w:rFonts w:asciiTheme="minorHAnsi" w:hAnsiTheme="minorHAnsi" w:eastAsiaTheme="minorEastAsia" w:cstheme="minorBidi"/>
          <w:smallCaps w:val="0"/>
          <w:kern w:val="2"/>
          <w:sz w:val="21"/>
          <w:szCs w:val="22"/>
        </w:rPr>
      </w:pPr>
      <w:r>
        <w:fldChar w:fldCharType="begin"/>
      </w:r>
      <w:r>
        <w:instrText xml:space="preserve"> HYPERLINK \l "_Toc3215859" </w:instrText>
      </w:r>
      <w:r>
        <w:fldChar w:fldCharType="separate"/>
      </w:r>
      <w:r>
        <w:rPr>
          <w:rStyle w:val="31"/>
          <w:rFonts w:hint="eastAsia" w:ascii="新宋体" w:hAnsi="新宋体" w:eastAsia="新宋体"/>
          <w:lang w:val="zh-CN"/>
        </w:rPr>
        <w:t>格式</w:t>
      </w:r>
      <w:r>
        <w:rPr>
          <w:rStyle w:val="31"/>
          <w:rFonts w:ascii="新宋体" w:hAnsi="新宋体" w:eastAsia="新宋体"/>
          <w:lang w:val="zh-CN"/>
        </w:rPr>
        <w:t>4</w:t>
      </w:r>
      <w:r>
        <w:rPr>
          <w:rStyle w:val="31"/>
          <w:rFonts w:hint="eastAsia" w:ascii="新宋体" w:hAnsi="新宋体" w:eastAsia="新宋体"/>
          <w:lang w:val="zh-CN"/>
        </w:rPr>
        <w:t>、投标报价表</w:t>
      </w:r>
      <w:r>
        <w:tab/>
      </w:r>
      <w:r>
        <w:fldChar w:fldCharType="begin"/>
      </w:r>
      <w:r>
        <w:instrText xml:space="preserve"> PAGEREF _Toc3215859 \h </w:instrText>
      </w:r>
      <w:r>
        <w:fldChar w:fldCharType="separate"/>
      </w:r>
      <w:r>
        <w:t>- 22 -</w:t>
      </w:r>
      <w:r>
        <w:fldChar w:fldCharType="end"/>
      </w:r>
      <w:r>
        <w:fldChar w:fldCharType="end"/>
      </w:r>
    </w:p>
    <w:p>
      <w:pPr>
        <w:rPr>
          <w:rFonts w:ascii="新宋体" w:hAnsi="新宋体" w:eastAsia="新宋体"/>
          <w:color w:val="000000"/>
        </w:rPr>
      </w:pPr>
      <w:r>
        <w:rPr>
          <w:rFonts w:ascii="新宋体" w:hAnsi="新宋体" w:eastAsia="新宋体"/>
          <w:bCs/>
          <w:color w:val="000000"/>
          <w:lang w:val="zh-CN"/>
        </w:rPr>
        <w:fldChar w:fldCharType="end"/>
      </w:r>
    </w:p>
    <w:p>
      <w:pPr>
        <w:jc w:val="center"/>
        <w:rPr>
          <w:rFonts w:ascii="新宋体" w:hAnsi="新宋体" w:eastAsia="新宋体"/>
          <w:b/>
          <w:bCs/>
          <w:color w:val="000000"/>
          <w:spacing w:val="20"/>
          <w:sz w:val="30"/>
        </w:rPr>
      </w:pPr>
    </w:p>
    <w:p>
      <w:pPr>
        <w:jc w:val="center"/>
        <w:rPr>
          <w:rFonts w:ascii="新宋体" w:hAnsi="新宋体" w:eastAsia="新宋体"/>
          <w:b/>
          <w:bCs/>
          <w:color w:val="000000"/>
          <w:spacing w:val="20"/>
          <w:sz w:val="30"/>
        </w:rPr>
      </w:pPr>
      <w:r>
        <w:rPr>
          <w:rFonts w:ascii="新宋体" w:hAnsi="新宋体" w:eastAsia="新宋体"/>
          <w:b/>
          <w:bCs/>
          <w:color w:val="000000"/>
          <w:spacing w:val="20"/>
          <w:sz w:val="30"/>
        </w:rPr>
        <w:br w:type="page"/>
      </w:r>
      <w:r>
        <w:rPr>
          <w:rFonts w:hint="eastAsia" w:ascii="新宋体" w:hAnsi="新宋体" w:eastAsia="新宋体"/>
          <w:b/>
          <w:bCs/>
          <w:color w:val="000000"/>
          <w:spacing w:val="20"/>
          <w:sz w:val="30"/>
        </w:rPr>
        <w:t>前言</w:t>
      </w:r>
    </w:p>
    <w:p>
      <w:pPr>
        <w:ind w:right="-159"/>
        <w:rPr>
          <w:rFonts w:ascii="新宋体" w:hAnsi="新宋体" w:eastAsia="新宋体"/>
          <w:color w:val="000000"/>
        </w:rPr>
      </w:pPr>
      <w:r>
        <w:rPr>
          <w:rFonts w:hint="eastAsia" w:ascii="新宋体" w:hAnsi="新宋体" w:eastAsia="新宋体"/>
          <w:color w:val="000000"/>
        </w:rPr>
        <w:t>下述表中内容是对招标文件的具体说明，如果有矛盾的话，应以本表为准。</w:t>
      </w:r>
    </w:p>
    <w:tbl>
      <w:tblPr>
        <w:tblStyle w:val="34"/>
        <w:tblW w:w="92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835"/>
        <w:gridCol w:w="6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859" w:type="dxa"/>
            <w:vAlign w:val="center"/>
          </w:tcPr>
          <w:p>
            <w:pPr>
              <w:spacing w:line="360" w:lineRule="auto"/>
              <w:ind w:right="-161"/>
              <w:jc w:val="center"/>
              <w:rPr>
                <w:rFonts w:ascii="新宋体" w:hAnsi="新宋体" w:eastAsia="新宋体"/>
                <w:b/>
                <w:color w:val="000000"/>
              </w:rPr>
            </w:pPr>
            <w:r>
              <w:rPr>
                <w:rFonts w:hint="eastAsia" w:ascii="新宋体" w:hAnsi="新宋体" w:eastAsia="新宋体"/>
                <w:b/>
                <w:color w:val="000000"/>
              </w:rPr>
              <w:t>条款号</w:t>
            </w:r>
          </w:p>
        </w:tc>
        <w:tc>
          <w:tcPr>
            <w:tcW w:w="1835" w:type="dxa"/>
            <w:vAlign w:val="center"/>
          </w:tcPr>
          <w:p>
            <w:pPr>
              <w:spacing w:line="360" w:lineRule="auto"/>
              <w:ind w:right="-161"/>
              <w:jc w:val="center"/>
              <w:rPr>
                <w:rFonts w:ascii="新宋体" w:hAnsi="新宋体" w:eastAsia="新宋体"/>
                <w:b/>
                <w:color w:val="000000"/>
              </w:rPr>
            </w:pPr>
            <w:r>
              <w:rPr>
                <w:rFonts w:hint="eastAsia" w:ascii="新宋体" w:hAnsi="新宋体" w:eastAsia="新宋体"/>
                <w:b/>
                <w:color w:val="000000"/>
              </w:rPr>
              <w:t>项      目</w:t>
            </w:r>
          </w:p>
        </w:tc>
        <w:tc>
          <w:tcPr>
            <w:tcW w:w="6549" w:type="dxa"/>
            <w:vAlign w:val="center"/>
          </w:tcPr>
          <w:p>
            <w:pPr>
              <w:spacing w:line="360" w:lineRule="auto"/>
              <w:ind w:right="-161"/>
              <w:jc w:val="center"/>
              <w:rPr>
                <w:rFonts w:ascii="新宋体" w:hAnsi="新宋体" w:eastAsia="新宋体"/>
                <w:b/>
                <w:color w:val="000000"/>
              </w:rPr>
            </w:pPr>
            <w:r>
              <w:rPr>
                <w:rFonts w:hint="eastAsia" w:ascii="新宋体" w:hAnsi="新宋体" w:eastAsia="新宋体"/>
                <w:b/>
                <w:color w:val="000000"/>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招标项目名称</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江苏</w:t>
            </w:r>
            <w:r>
              <w:rPr>
                <w:rFonts w:ascii="新宋体" w:hAnsi="新宋体" w:eastAsia="新宋体"/>
                <w:color w:val="000000"/>
              </w:rPr>
              <w:t>如皋</w:t>
            </w:r>
            <w:r>
              <w:rPr>
                <w:rFonts w:hint="eastAsia" w:ascii="新宋体" w:hAnsi="新宋体" w:eastAsia="新宋体"/>
                <w:color w:val="000000"/>
              </w:rPr>
              <w:t>农村商业银行北塔运维</w:t>
            </w:r>
            <w:r>
              <w:rPr>
                <w:rFonts w:ascii="新宋体" w:hAnsi="新宋体" w:eastAsia="新宋体"/>
                <w:color w:val="000000"/>
              </w:rPr>
              <w:t>管理平台采购项目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4"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2</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招标机构名称及地址</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名称：江苏如皋农村商业银行股份有限公司</w:t>
            </w:r>
          </w:p>
          <w:p>
            <w:pPr>
              <w:spacing w:line="360" w:lineRule="auto"/>
              <w:ind w:right="-159"/>
              <w:rPr>
                <w:rFonts w:hint="default" w:ascii="新宋体" w:hAnsi="新宋体" w:eastAsia="新宋体"/>
                <w:color w:val="000000"/>
                <w:lang w:val="en-US" w:eastAsia="zh-CN"/>
              </w:rPr>
            </w:pPr>
            <w:r>
              <w:rPr>
                <w:rFonts w:hint="eastAsia" w:ascii="新宋体" w:hAnsi="新宋体" w:eastAsia="新宋体"/>
                <w:color w:val="000000"/>
              </w:rPr>
              <w:t>地址：</w:t>
            </w:r>
            <w:r>
              <w:rPr>
                <w:rFonts w:ascii="新宋体" w:hAnsi="新宋体" w:eastAsia="新宋体"/>
                <w:color w:val="000000"/>
              </w:rPr>
              <w:t xml:space="preserve"> </w:t>
            </w:r>
            <w:r>
              <w:rPr>
                <w:rFonts w:hint="eastAsia" w:ascii="新宋体" w:hAnsi="新宋体" w:eastAsia="新宋体"/>
                <w:color w:val="000000"/>
                <w:lang w:eastAsia="zh-CN"/>
              </w:rPr>
              <w:t>如皋市海阳中路</w:t>
            </w:r>
            <w:r>
              <w:rPr>
                <w:rFonts w:hint="eastAsia" w:ascii="新宋体" w:hAnsi="新宋体" w:eastAsia="新宋体"/>
                <w:color w:val="000000"/>
                <w:lang w:val="en-US" w:eastAsia="zh-CN"/>
              </w:rPr>
              <w:t>195号</w:t>
            </w:r>
          </w:p>
          <w:p>
            <w:pPr>
              <w:spacing w:line="360" w:lineRule="auto"/>
              <w:ind w:right="-159"/>
              <w:rPr>
                <w:rFonts w:hint="default" w:ascii="新宋体" w:hAnsi="新宋体" w:eastAsia="新宋体"/>
                <w:color w:val="000000"/>
                <w:lang w:val="en-US" w:eastAsia="zh-CN"/>
              </w:rPr>
            </w:pPr>
            <w:r>
              <w:rPr>
                <w:rFonts w:hint="eastAsia" w:ascii="新宋体" w:hAnsi="新宋体" w:eastAsia="新宋体"/>
                <w:color w:val="000000"/>
              </w:rPr>
              <w:t>电话：</w:t>
            </w:r>
            <w:r>
              <w:rPr>
                <w:rFonts w:hint="eastAsia" w:ascii="新宋体" w:hAnsi="新宋体" w:eastAsia="新宋体"/>
                <w:color w:val="000000"/>
                <w:lang w:val="en-US" w:eastAsia="zh-CN"/>
              </w:rPr>
              <w:t>0513-87616088</w:t>
            </w:r>
          </w:p>
          <w:p>
            <w:pPr>
              <w:spacing w:line="360" w:lineRule="auto"/>
              <w:ind w:right="-159"/>
              <w:rPr>
                <w:rFonts w:hint="eastAsia" w:ascii="新宋体" w:hAnsi="新宋体" w:eastAsia="新宋体"/>
                <w:color w:val="000000"/>
                <w:lang w:eastAsia="zh-CN"/>
              </w:rPr>
            </w:pPr>
            <w:r>
              <w:rPr>
                <w:rFonts w:hint="eastAsia" w:ascii="新宋体" w:hAnsi="新宋体" w:eastAsia="新宋体"/>
                <w:color w:val="000000"/>
              </w:rPr>
              <w:t xml:space="preserve">联系人： </w:t>
            </w:r>
            <w:r>
              <w:rPr>
                <w:rFonts w:hint="eastAsia" w:ascii="新宋体" w:hAnsi="新宋体" w:eastAsia="新宋体"/>
                <w:color w:val="000000"/>
                <w:lang w:eastAsia="zh-CN"/>
              </w:rPr>
              <w:t>曹杰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1"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3</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采购人</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江苏如皋农村商业银行股份有限公司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4</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标书组成</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1、投标资格文件；             2、投标的补充必备文件；</w:t>
            </w:r>
          </w:p>
          <w:p>
            <w:pPr>
              <w:spacing w:line="360" w:lineRule="auto"/>
              <w:ind w:right="-159"/>
              <w:rPr>
                <w:rFonts w:ascii="新宋体" w:hAnsi="新宋体" w:eastAsia="新宋体"/>
                <w:color w:val="000000"/>
              </w:rPr>
            </w:pPr>
            <w:r>
              <w:rPr>
                <w:rFonts w:hint="eastAsia" w:ascii="新宋体" w:hAnsi="新宋体" w:eastAsia="新宋体"/>
                <w:color w:val="000000"/>
              </w:rPr>
              <w:t>3、标书附件格式部分；         4、投标报价表；</w:t>
            </w:r>
          </w:p>
          <w:p>
            <w:pPr>
              <w:spacing w:line="360" w:lineRule="auto"/>
              <w:ind w:right="-159"/>
              <w:rPr>
                <w:rFonts w:ascii="新宋体" w:hAnsi="新宋体" w:eastAsia="新宋体"/>
                <w:color w:val="000000"/>
              </w:rPr>
            </w:pPr>
            <w:r>
              <w:rPr>
                <w:rFonts w:hint="eastAsia" w:ascii="新宋体" w:hAnsi="新宋体" w:eastAsia="新宋体"/>
                <w:color w:val="000000"/>
              </w:rPr>
              <w:t>5、投标技术部分；             6、投标商务部分；</w:t>
            </w:r>
          </w:p>
          <w:p>
            <w:pPr>
              <w:spacing w:line="360" w:lineRule="auto"/>
              <w:ind w:right="-159"/>
              <w:rPr>
                <w:rFonts w:ascii="新宋体" w:hAnsi="新宋体" w:eastAsia="新宋体"/>
                <w:color w:val="000000"/>
              </w:rPr>
            </w:pPr>
            <w:r>
              <w:rPr>
                <w:rFonts w:hint="eastAsia" w:ascii="新宋体" w:hAnsi="新宋体" w:eastAsia="新宋体"/>
                <w:color w:val="000000"/>
              </w:rPr>
              <w:t>7、投标其它资料；             8、企业法定代表人授权委托书。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6"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5</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投标有效期</w:t>
            </w:r>
          </w:p>
        </w:tc>
        <w:tc>
          <w:tcPr>
            <w:tcW w:w="6549" w:type="dxa"/>
            <w:vAlign w:val="center"/>
          </w:tcPr>
          <w:p>
            <w:pPr>
              <w:spacing w:line="360" w:lineRule="auto"/>
              <w:ind w:right="-161"/>
              <w:rPr>
                <w:rFonts w:ascii="新宋体" w:hAnsi="新宋体" w:eastAsia="新宋体"/>
                <w:color w:val="000000"/>
              </w:rPr>
            </w:pPr>
            <w:r>
              <w:rPr>
                <w:rFonts w:hint="eastAsia" w:ascii="新宋体" w:hAnsi="新宋体" w:eastAsia="新宋体"/>
                <w:color w:val="000000"/>
              </w:rPr>
              <w:t>开标后30日内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6</w:t>
            </w:r>
          </w:p>
        </w:tc>
        <w:tc>
          <w:tcPr>
            <w:tcW w:w="1835"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投标文件份数</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正本一份，副本一份，分别装订成册后密封，并在密封处加盖公章，若正、副本有矛盾之处以正本为准。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2"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7</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投标书递交时间</w:t>
            </w:r>
          </w:p>
          <w:p>
            <w:pPr>
              <w:spacing w:line="360" w:lineRule="auto"/>
              <w:ind w:right="-161"/>
              <w:jc w:val="center"/>
              <w:rPr>
                <w:rFonts w:ascii="新宋体" w:hAnsi="新宋体" w:eastAsia="新宋体"/>
                <w:color w:val="000000"/>
              </w:rPr>
            </w:pPr>
            <w:r>
              <w:rPr>
                <w:rFonts w:hint="eastAsia" w:ascii="新宋体" w:hAnsi="新宋体" w:eastAsia="新宋体"/>
                <w:color w:val="000000"/>
              </w:rPr>
              <w:t>投标书递交地点</w:t>
            </w:r>
          </w:p>
        </w:tc>
        <w:tc>
          <w:tcPr>
            <w:tcW w:w="6549" w:type="dxa"/>
            <w:vAlign w:val="center"/>
          </w:tcPr>
          <w:p>
            <w:pPr>
              <w:spacing w:line="360" w:lineRule="auto"/>
              <w:ind w:right="-159"/>
              <w:rPr>
                <w:rFonts w:ascii="新宋体" w:hAnsi="新宋体" w:eastAsia="新宋体"/>
              </w:rPr>
            </w:pPr>
            <w:r>
              <w:rPr>
                <w:rFonts w:ascii="新宋体" w:hAnsi="新宋体" w:eastAsia="新宋体"/>
              </w:rPr>
              <w:t>20</w:t>
            </w:r>
            <w:r>
              <w:rPr>
                <w:rFonts w:hint="eastAsia" w:ascii="新宋体" w:hAnsi="新宋体" w:eastAsia="新宋体"/>
              </w:rPr>
              <w:t>19</w:t>
            </w:r>
            <w:r>
              <w:rPr>
                <w:rFonts w:ascii="新宋体" w:hAnsi="新宋体" w:eastAsia="新宋体"/>
              </w:rPr>
              <w:t>年</w:t>
            </w:r>
            <w:r>
              <w:rPr>
                <w:rFonts w:hint="default" w:ascii="新宋体" w:hAnsi="新宋体" w:eastAsia="新宋体"/>
                <w:lang w:val="en-US"/>
              </w:rPr>
              <w:t>7</w:t>
            </w:r>
            <w:r>
              <w:rPr>
                <w:rFonts w:hint="eastAsia" w:ascii="新宋体" w:hAnsi="新宋体" w:eastAsia="新宋体"/>
              </w:rPr>
              <w:t xml:space="preserve"> </w:t>
            </w:r>
            <w:r>
              <w:rPr>
                <w:rFonts w:ascii="新宋体" w:hAnsi="新宋体" w:eastAsia="新宋体"/>
              </w:rPr>
              <w:t>月</w:t>
            </w:r>
            <w:r>
              <w:rPr>
                <w:rFonts w:hint="eastAsia" w:ascii="新宋体" w:hAnsi="新宋体" w:eastAsia="新宋体"/>
              </w:rPr>
              <w:t xml:space="preserve"> </w:t>
            </w:r>
            <w:r>
              <w:rPr>
                <w:rFonts w:hint="default" w:ascii="新宋体" w:hAnsi="新宋体" w:eastAsia="新宋体"/>
                <w:lang w:val="en-US"/>
              </w:rPr>
              <w:t>12</w:t>
            </w:r>
            <w:r>
              <w:rPr>
                <w:rFonts w:hint="eastAsia" w:ascii="新宋体" w:hAnsi="新宋体" w:eastAsia="新宋体"/>
              </w:rPr>
              <w:t xml:space="preserve">  </w:t>
            </w:r>
            <w:r>
              <w:rPr>
                <w:rFonts w:ascii="新宋体" w:hAnsi="新宋体" w:eastAsia="新宋体"/>
              </w:rPr>
              <w:t>日</w:t>
            </w:r>
            <w:r>
              <w:rPr>
                <w:rFonts w:hint="eastAsia" w:ascii="新宋体" w:hAnsi="新宋体" w:eastAsia="新宋体"/>
              </w:rPr>
              <w:t>18：00前</w:t>
            </w:r>
          </w:p>
          <w:p>
            <w:pPr>
              <w:spacing w:line="360" w:lineRule="auto"/>
              <w:ind w:right="-159"/>
              <w:rPr>
                <w:rFonts w:ascii="新宋体" w:hAnsi="新宋体" w:eastAsia="新宋体"/>
              </w:rPr>
            </w:pPr>
            <w:r>
              <w:rPr>
                <w:rFonts w:hint="eastAsia" w:ascii="新宋体" w:hAnsi="新宋体" w:eastAsia="新宋体"/>
              </w:rPr>
              <w:t>江苏如皋农村商业银行科技部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9</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投标截止时间</w:t>
            </w:r>
          </w:p>
        </w:tc>
        <w:tc>
          <w:tcPr>
            <w:tcW w:w="6549" w:type="dxa"/>
            <w:vAlign w:val="center"/>
          </w:tcPr>
          <w:p>
            <w:pPr>
              <w:spacing w:line="360" w:lineRule="auto"/>
              <w:ind w:right="-159"/>
              <w:rPr>
                <w:rFonts w:ascii="新宋体" w:hAnsi="新宋体" w:eastAsia="新宋体"/>
              </w:rPr>
            </w:pPr>
            <w:r>
              <w:rPr>
                <w:rFonts w:ascii="新宋体" w:hAnsi="新宋体" w:eastAsia="新宋体"/>
              </w:rPr>
              <w:t>20</w:t>
            </w:r>
            <w:r>
              <w:rPr>
                <w:rFonts w:hint="eastAsia" w:ascii="新宋体" w:hAnsi="新宋体" w:eastAsia="新宋体"/>
              </w:rPr>
              <w:t>1</w:t>
            </w:r>
            <w:r>
              <w:rPr>
                <w:rFonts w:ascii="新宋体" w:hAnsi="新宋体" w:eastAsia="新宋体"/>
              </w:rPr>
              <w:t>9年</w:t>
            </w:r>
            <w:r>
              <w:rPr>
                <w:rFonts w:hint="default" w:ascii="新宋体" w:hAnsi="新宋体" w:eastAsia="新宋体"/>
                <w:lang w:val="en-US" w:eastAsia="zh-CN"/>
              </w:rPr>
              <w:t>7</w:t>
            </w:r>
            <w:r>
              <w:rPr>
                <w:rFonts w:hint="eastAsia" w:ascii="新宋体" w:hAnsi="新宋体" w:eastAsia="新宋体"/>
              </w:rPr>
              <w:t xml:space="preserve"> </w:t>
            </w:r>
            <w:r>
              <w:rPr>
                <w:rFonts w:ascii="新宋体" w:hAnsi="新宋体" w:eastAsia="新宋体"/>
              </w:rPr>
              <w:t>月</w:t>
            </w:r>
            <w:r>
              <w:rPr>
                <w:rFonts w:hint="eastAsia" w:ascii="新宋体" w:hAnsi="新宋体" w:eastAsia="新宋体"/>
              </w:rPr>
              <w:t xml:space="preserve"> </w:t>
            </w:r>
            <w:r>
              <w:rPr>
                <w:rFonts w:hint="default" w:ascii="新宋体" w:hAnsi="新宋体" w:eastAsia="新宋体"/>
                <w:lang w:val="en-US" w:eastAsia="zh-CN"/>
              </w:rPr>
              <w:t>12</w:t>
            </w:r>
            <w:r>
              <w:rPr>
                <w:rFonts w:hint="eastAsia" w:ascii="新宋体" w:hAnsi="新宋体" w:eastAsia="新宋体"/>
              </w:rPr>
              <w:t xml:space="preserve"> </w:t>
            </w:r>
            <w:r>
              <w:rPr>
                <w:rFonts w:ascii="新宋体" w:hAnsi="新宋体" w:eastAsia="新宋体"/>
              </w:rPr>
              <w:t>日</w:t>
            </w:r>
            <w:r>
              <w:rPr>
                <w:rFonts w:hint="eastAsia" w:ascii="新宋体" w:hAnsi="新宋体" w:eastAsia="新宋体"/>
              </w:rPr>
              <w:t xml:space="preserve"> 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6"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10</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签订合同地点</w:t>
            </w:r>
          </w:p>
        </w:tc>
        <w:tc>
          <w:tcPr>
            <w:tcW w:w="6549" w:type="dxa"/>
            <w:vAlign w:val="center"/>
          </w:tcPr>
          <w:p>
            <w:pPr>
              <w:spacing w:line="360" w:lineRule="auto"/>
              <w:ind w:right="-161"/>
              <w:rPr>
                <w:rFonts w:ascii="新宋体" w:hAnsi="新宋体" w:eastAsia="新宋体"/>
              </w:rPr>
            </w:pPr>
            <w:r>
              <w:rPr>
                <w:rFonts w:hint="eastAsia" w:ascii="新宋体" w:hAnsi="新宋体" w:eastAsia="新宋体"/>
              </w:rPr>
              <w:t>江苏如皋农村商业银行股份有限公司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11</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投标报价本位币</w:t>
            </w:r>
          </w:p>
        </w:tc>
        <w:tc>
          <w:tcPr>
            <w:tcW w:w="6549" w:type="dxa"/>
            <w:vAlign w:val="center"/>
          </w:tcPr>
          <w:p>
            <w:pPr>
              <w:spacing w:line="360" w:lineRule="auto"/>
              <w:ind w:right="-161"/>
              <w:rPr>
                <w:rFonts w:ascii="新宋体" w:hAnsi="新宋体" w:eastAsia="新宋体"/>
                <w:color w:val="000000"/>
              </w:rPr>
            </w:pPr>
            <w:r>
              <w:rPr>
                <w:rFonts w:hint="eastAsia" w:ascii="新宋体" w:hAnsi="新宋体" w:eastAsia="新宋体"/>
                <w:color w:val="000000"/>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2"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12</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评标方法</w:t>
            </w:r>
          </w:p>
        </w:tc>
        <w:tc>
          <w:tcPr>
            <w:tcW w:w="6549" w:type="dxa"/>
            <w:vAlign w:val="center"/>
          </w:tcPr>
          <w:p>
            <w:pPr>
              <w:spacing w:line="360" w:lineRule="auto"/>
              <w:ind w:right="-161"/>
              <w:rPr>
                <w:rFonts w:ascii="新宋体" w:hAnsi="新宋体" w:eastAsia="新宋体"/>
                <w:color w:val="000000"/>
              </w:rPr>
            </w:pPr>
            <w:r>
              <w:rPr>
                <w:rFonts w:hint="eastAsia" w:ascii="新宋体" w:hAnsi="新宋体" w:eastAsia="新宋体"/>
                <w:color w:val="000000"/>
              </w:rPr>
              <w:t>采用综合评分法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3"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13</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导致废标因素</w:t>
            </w:r>
          </w:p>
        </w:tc>
        <w:tc>
          <w:tcPr>
            <w:tcW w:w="6549" w:type="dxa"/>
            <w:vAlign w:val="center"/>
          </w:tcPr>
          <w:p>
            <w:pPr>
              <w:spacing w:line="360" w:lineRule="auto"/>
              <w:ind w:right="-159"/>
              <w:rPr>
                <w:rFonts w:ascii="新宋体" w:hAnsi="新宋体" w:eastAsia="新宋体"/>
                <w:color w:val="000000"/>
              </w:rPr>
            </w:pPr>
            <w:r>
              <w:rPr>
                <w:rFonts w:hint="eastAsia" w:ascii="新宋体" w:hAnsi="新宋体" w:eastAsia="新宋体"/>
                <w:color w:val="000000"/>
              </w:rPr>
              <w:t>出现下列情形之一的，为废标：</w:t>
            </w:r>
          </w:p>
          <w:p>
            <w:pPr>
              <w:numPr>
                <w:ilvl w:val="0"/>
                <w:numId w:val="5"/>
              </w:numPr>
              <w:spacing w:line="360" w:lineRule="auto"/>
              <w:ind w:right="-159"/>
              <w:rPr>
                <w:rFonts w:ascii="新宋体" w:hAnsi="新宋体" w:eastAsia="新宋体"/>
                <w:color w:val="000000"/>
              </w:rPr>
            </w:pPr>
            <w:r>
              <w:rPr>
                <w:rFonts w:hint="eastAsia" w:ascii="新宋体" w:hAnsi="新宋体" w:eastAsia="新宋体"/>
                <w:color w:val="000000"/>
              </w:rPr>
              <w:t>出现影响采购公正的违法、违规行为的；</w:t>
            </w:r>
          </w:p>
          <w:p>
            <w:pPr>
              <w:numPr>
                <w:ilvl w:val="0"/>
                <w:numId w:val="5"/>
              </w:numPr>
              <w:spacing w:line="360" w:lineRule="auto"/>
              <w:ind w:right="-159"/>
              <w:rPr>
                <w:rFonts w:ascii="新宋体" w:hAnsi="新宋体" w:eastAsia="新宋体"/>
                <w:color w:val="000000"/>
              </w:rPr>
            </w:pPr>
            <w:r>
              <w:rPr>
                <w:rFonts w:hint="eastAsia" w:ascii="新宋体" w:hAnsi="新宋体" w:eastAsia="新宋体"/>
                <w:color w:val="000000"/>
              </w:rPr>
              <w:t xml:space="preserve">投标人在投标中所提供的资质文件出现弄虚作假 ；             </w:t>
            </w:r>
          </w:p>
          <w:p>
            <w:pPr>
              <w:numPr>
                <w:ilvl w:val="0"/>
                <w:numId w:val="5"/>
              </w:numPr>
              <w:spacing w:line="360" w:lineRule="auto"/>
              <w:ind w:right="-159"/>
              <w:rPr>
                <w:rFonts w:ascii="新宋体" w:hAnsi="新宋体" w:eastAsia="新宋体"/>
                <w:color w:val="000000"/>
              </w:rPr>
            </w:pPr>
            <w:r>
              <w:rPr>
                <w:rFonts w:hint="eastAsia" w:ascii="新宋体" w:hAnsi="新宋体" w:eastAsia="新宋体"/>
                <w:color w:val="000000"/>
              </w:rPr>
              <w:t>因重大变故，采购任务取消的；</w:t>
            </w:r>
          </w:p>
          <w:p>
            <w:pPr>
              <w:numPr>
                <w:ilvl w:val="0"/>
                <w:numId w:val="5"/>
              </w:numPr>
              <w:spacing w:line="360" w:lineRule="auto"/>
              <w:ind w:right="-159"/>
              <w:rPr>
                <w:rFonts w:ascii="新宋体" w:hAnsi="新宋体" w:eastAsia="新宋体"/>
                <w:color w:val="000000"/>
              </w:rPr>
            </w:pPr>
            <w:r>
              <w:rPr>
                <w:rFonts w:hint="eastAsia" w:ascii="新宋体" w:hAnsi="新宋体" w:eastAsia="新宋体"/>
                <w:color w:val="000000"/>
              </w:rPr>
              <w:t>没获得安全</w:t>
            </w:r>
            <w:r>
              <w:rPr>
                <w:rFonts w:ascii="新宋体" w:hAnsi="新宋体" w:eastAsia="新宋体"/>
                <w:color w:val="000000"/>
              </w:rPr>
              <w:t>设备</w:t>
            </w:r>
            <w:r>
              <w:rPr>
                <w:rFonts w:hint="eastAsia" w:ascii="新宋体" w:hAnsi="新宋体" w:eastAsia="新宋体"/>
                <w:color w:val="000000"/>
              </w:rPr>
              <w:t>原厂家针对本次项目授权和质保</w:t>
            </w:r>
            <w:r>
              <w:rPr>
                <w:rFonts w:ascii="新宋体" w:hAnsi="新宋体" w:eastAsia="新宋体"/>
                <w:color w:val="000000"/>
              </w:rPr>
              <w:t>承诺函的</w:t>
            </w:r>
            <w:r>
              <w:rPr>
                <w:rFonts w:hint="eastAsia" w:ascii="新宋体" w:hAnsi="新宋体" w:eastAsia="新宋体"/>
                <w:color w:val="000000"/>
              </w:rPr>
              <w:t>；</w:t>
            </w:r>
          </w:p>
          <w:p>
            <w:pPr>
              <w:numPr>
                <w:ilvl w:val="0"/>
                <w:numId w:val="5"/>
              </w:numPr>
              <w:spacing w:line="360" w:lineRule="auto"/>
              <w:ind w:right="-159"/>
              <w:rPr>
                <w:rFonts w:ascii="新宋体" w:hAnsi="新宋体" w:eastAsia="新宋体"/>
                <w:color w:val="000000"/>
              </w:rPr>
            </w:pPr>
            <w:r>
              <w:rPr>
                <w:rFonts w:hint="eastAsia" w:ascii="新宋体" w:hAnsi="新宋体" w:eastAsia="新宋体"/>
                <w:color w:val="000000"/>
              </w:rPr>
              <w:t>投标报价明显不符合金融</w:t>
            </w:r>
            <w:r>
              <w:rPr>
                <w:rFonts w:ascii="新宋体" w:hAnsi="新宋体" w:eastAsia="新宋体"/>
                <w:color w:val="000000"/>
              </w:rPr>
              <w:t>系统正规渠道</w:t>
            </w:r>
            <w:r>
              <w:rPr>
                <w:rFonts w:hint="eastAsia" w:ascii="新宋体" w:hAnsi="新宋体" w:eastAsia="新宋体"/>
                <w:color w:val="000000"/>
              </w:rPr>
              <w:t>市场价格，存在串货</w:t>
            </w:r>
            <w:r>
              <w:rPr>
                <w:rFonts w:ascii="新宋体" w:hAnsi="新宋体" w:eastAsia="新宋体"/>
                <w:color w:val="000000"/>
              </w:rPr>
              <w:t>、</w:t>
            </w:r>
            <w:r>
              <w:rPr>
                <w:rFonts w:hint="eastAsia" w:ascii="新宋体" w:hAnsi="新宋体" w:eastAsia="新宋体"/>
                <w:color w:val="000000"/>
              </w:rPr>
              <w:t>恶意竞争；</w:t>
            </w:r>
          </w:p>
          <w:p>
            <w:pPr>
              <w:pStyle w:val="26"/>
              <w:numPr>
                <w:ilvl w:val="0"/>
                <w:numId w:val="5"/>
              </w:numPr>
              <w:spacing w:line="440" w:lineRule="exact"/>
              <w:ind w:leftChars="0" w:firstLineChars="0"/>
              <w:rPr>
                <w:rFonts w:ascii="新宋体" w:hAnsi="新宋体" w:eastAsia="新宋体"/>
                <w:color w:val="000000"/>
                <w:szCs w:val="21"/>
              </w:rPr>
            </w:pPr>
            <w:r>
              <w:rPr>
                <w:rFonts w:hint="eastAsia" w:ascii="新宋体" w:hAnsi="新宋体" w:eastAsia="新宋体"/>
                <w:color w:val="000000"/>
                <w:szCs w:val="21"/>
              </w:rPr>
              <w:t>不按招标文件中配置清单报价的。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74" w:hRule="atLeast"/>
        </w:trPr>
        <w:tc>
          <w:tcPr>
            <w:tcW w:w="859" w:type="dxa"/>
            <w:vAlign w:val="center"/>
          </w:tcPr>
          <w:p>
            <w:pPr>
              <w:spacing w:line="360" w:lineRule="auto"/>
              <w:ind w:right="-161"/>
              <w:jc w:val="center"/>
              <w:rPr>
                <w:rFonts w:ascii="新宋体" w:hAnsi="新宋体" w:eastAsia="新宋体"/>
                <w:color w:val="000000"/>
              </w:rPr>
            </w:pPr>
            <w:r>
              <w:rPr>
                <w:rFonts w:hint="eastAsia" w:ascii="新宋体" w:hAnsi="新宋体" w:eastAsia="新宋体"/>
                <w:color w:val="000000"/>
              </w:rPr>
              <w:t>14</w:t>
            </w:r>
          </w:p>
        </w:tc>
        <w:tc>
          <w:tcPr>
            <w:tcW w:w="1835" w:type="dxa"/>
            <w:vAlign w:val="center"/>
          </w:tcPr>
          <w:p>
            <w:pPr>
              <w:spacing w:line="360" w:lineRule="auto"/>
              <w:ind w:right="-159"/>
              <w:jc w:val="center"/>
              <w:rPr>
                <w:rFonts w:ascii="新宋体" w:hAnsi="新宋体" w:eastAsia="新宋体"/>
                <w:color w:val="000000"/>
              </w:rPr>
            </w:pPr>
            <w:r>
              <w:rPr>
                <w:rFonts w:hint="eastAsia" w:ascii="新宋体" w:hAnsi="新宋体" w:eastAsia="新宋体"/>
                <w:color w:val="000000"/>
              </w:rPr>
              <w:t>导致无效标因素</w:t>
            </w:r>
          </w:p>
        </w:tc>
        <w:tc>
          <w:tcPr>
            <w:tcW w:w="6549" w:type="dxa"/>
            <w:vAlign w:val="center"/>
          </w:tcPr>
          <w:p>
            <w:pPr>
              <w:pStyle w:val="26"/>
              <w:spacing w:line="440" w:lineRule="exact"/>
              <w:ind w:left="0" w:leftChars="0" w:firstLine="0" w:firstLineChars="0"/>
              <w:rPr>
                <w:rFonts w:ascii="新宋体" w:hAnsi="新宋体" w:eastAsia="新宋体"/>
                <w:color w:val="000000"/>
                <w:szCs w:val="21"/>
              </w:rPr>
            </w:pPr>
            <w:r>
              <w:rPr>
                <w:rFonts w:hint="eastAsia" w:ascii="新宋体" w:hAnsi="新宋体" w:eastAsia="新宋体"/>
                <w:color w:val="000000"/>
                <w:szCs w:val="21"/>
              </w:rPr>
              <w:t>投标文件属下列情况之一的，在资格性、符合性检查时按照无效投标处理：</w:t>
            </w:r>
          </w:p>
          <w:p>
            <w:pPr>
              <w:pStyle w:val="26"/>
              <w:numPr>
                <w:ilvl w:val="0"/>
                <w:numId w:val="6"/>
              </w:numPr>
              <w:spacing w:line="440" w:lineRule="exact"/>
              <w:ind w:leftChars="0" w:firstLineChars="0"/>
              <w:jc w:val="left"/>
              <w:rPr>
                <w:rFonts w:ascii="新宋体" w:hAnsi="新宋体" w:eastAsia="新宋体"/>
                <w:color w:val="000000"/>
                <w:szCs w:val="21"/>
              </w:rPr>
            </w:pPr>
            <w:r>
              <w:rPr>
                <w:rFonts w:hint="eastAsia" w:ascii="新宋体" w:hAnsi="新宋体" w:eastAsia="新宋体"/>
                <w:color w:val="000000"/>
                <w:szCs w:val="21"/>
              </w:rPr>
              <w:t>未按照招标文件规定要求密封、签署、盖章的；</w:t>
            </w:r>
          </w:p>
          <w:p>
            <w:pPr>
              <w:pStyle w:val="26"/>
              <w:numPr>
                <w:ilvl w:val="0"/>
                <w:numId w:val="6"/>
              </w:numPr>
              <w:spacing w:line="440" w:lineRule="exact"/>
              <w:ind w:leftChars="0" w:firstLineChars="0"/>
              <w:jc w:val="left"/>
              <w:rPr>
                <w:rFonts w:ascii="新宋体" w:hAnsi="新宋体" w:eastAsia="新宋体"/>
                <w:color w:val="000000"/>
                <w:szCs w:val="21"/>
              </w:rPr>
            </w:pPr>
            <w:r>
              <w:rPr>
                <w:rFonts w:hint="eastAsia" w:ascii="新宋体" w:hAnsi="新宋体" w:eastAsia="新宋体"/>
                <w:color w:val="000000"/>
                <w:szCs w:val="21"/>
              </w:rPr>
              <w:t>不具备招标文件中规定资格要求的；</w:t>
            </w:r>
          </w:p>
          <w:p>
            <w:pPr>
              <w:pStyle w:val="26"/>
              <w:numPr>
                <w:ilvl w:val="0"/>
                <w:numId w:val="6"/>
              </w:numPr>
              <w:spacing w:line="440" w:lineRule="exact"/>
              <w:ind w:leftChars="0" w:firstLineChars="0"/>
              <w:jc w:val="left"/>
              <w:rPr>
                <w:rFonts w:ascii="新宋体" w:hAnsi="新宋体" w:eastAsia="新宋体"/>
                <w:color w:val="000000"/>
                <w:szCs w:val="21"/>
              </w:rPr>
            </w:pPr>
            <w:r>
              <w:rPr>
                <w:rFonts w:hint="eastAsia" w:ascii="新宋体" w:hAnsi="新宋体" w:eastAsia="新宋体"/>
                <w:color w:val="000000"/>
                <w:szCs w:val="21"/>
              </w:rPr>
              <w:t>不符合法律、法规和招标文件中规定的其他实质性要求的；</w:t>
            </w:r>
          </w:p>
          <w:p>
            <w:pPr>
              <w:numPr>
                <w:ilvl w:val="0"/>
                <w:numId w:val="6"/>
              </w:numPr>
              <w:spacing w:line="360" w:lineRule="auto"/>
              <w:ind w:right="-159"/>
              <w:rPr>
                <w:rFonts w:ascii="新宋体" w:hAnsi="新宋体" w:eastAsia="新宋体"/>
                <w:color w:val="000000"/>
              </w:rPr>
            </w:pPr>
            <w:r>
              <w:rPr>
                <w:rFonts w:hint="eastAsia" w:ascii="新宋体" w:hAnsi="新宋体" w:eastAsia="新宋体"/>
                <w:color w:val="000000"/>
                <w:szCs w:val="21"/>
              </w:rPr>
              <w:t>其它在招标文件中已明确为无效标的。</w:t>
            </w:r>
          </w:p>
        </w:tc>
      </w:tr>
    </w:tbl>
    <w:p>
      <w:pPr>
        <w:adjustRightInd w:val="0"/>
        <w:snapToGrid w:val="0"/>
        <w:spacing w:line="300" w:lineRule="auto"/>
        <w:jc w:val="center"/>
        <w:rPr>
          <w:rFonts w:ascii="新宋体" w:hAnsi="新宋体" w:eastAsia="新宋体"/>
          <w:b/>
          <w:bCs/>
          <w:color w:val="000000"/>
          <w:sz w:val="32"/>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rPr>
          <w:rFonts w:ascii="新宋体" w:hAnsi="新宋体" w:eastAsia="新宋体"/>
          <w:color w:val="000000"/>
        </w:rPr>
      </w:pPr>
    </w:p>
    <w:p>
      <w:pPr>
        <w:pStyle w:val="2"/>
        <w:numPr>
          <w:ilvl w:val="0"/>
          <w:numId w:val="0"/>
        </w:numPr>
        <w:rPr>
          <w:rFonts w:ascii="新宋体" w:hAnsi="新宋体" w:eastAsia="新宋体"/>
          <w:color w:val="000000"/>
          <w:sz w:val="28"/>
          <w:szCs w:val="28"/>
        </w:rPr>
      </w:pPr>
      <w:bookmarkStart w:id="6" w:name="_Toc313483543"/>
      <w:bookmarkStart w:id="7" w:name="_Toc3215843"/>
      <w:r>
        <w:rPr>
          <w:rFonts w:hint="eastAsia" w:ascii="新宋体" w:hAnsi="新宋体" w:eastAsia="新宋体"/>
          <w:color w:val="000000"/>
          <w:sz w:val="28"/>
          <w:szCs w:val="28"/>
        </w:rPr>
        <w:t>第一部分 投标书</w:t>
      </w:r>
      <w:bookmarkEnd w:id="6"/>
      <w:bookmarkEnd w:id="7"/>
    </w:p>
    <w:p>
      <w:pPr>
        <w:spacing w:line="360" w:lineRule="auto"/>
        <w:ind w:firstLine="315" w:firstLineChars="150"/>
        <w:rPr>
          <w:rFonts w:ascii="新宋体" w:hAnsi="新宋体" w:eastAsia="新宋体"/>
        </w:rPr>
      </w:pPr>
      <w:r>
        <w:rPr>
          <w:rFonts w:hint="eastAsia" w:ascii="新宋体" w:hAnsi="新宋体" w:eastAsia="新宋体"/>
        </w:rPr>
        <w:t>江苏如皋农村商业银行股份有限公司因</w:t>
      </w:r>
      <w:r>
        <w:rPr>
          <w:rFonts w:ascii="新宋体" w:hAnsi="新宋体" w:eastAsia="新宋体"/>
        </w:rPr>
        <w:t>业务发展需要，需要采购</w:t>
      </w:r>
      <w:r>
        <w:rPr>
          <w:rFonts w:hint="eastAsia" w:ascii="新宋体" w:hAnsi="新宋体" w:eastAsia="新宋体"/>
        </w:rPr>
        <w:t>北塔智慧运维</w:t>
      </w:r>
      <w:r>
        <w:rPr>
          <w:rFonts w:ascii="新宋体" w:hAnsi="新宋体" w:eastAsia="新宋体"/>
        </w:rPr>
        <w:t>管理平台</w:t>
      </w:r>
      <w:r>
        <w:rPr>
          <w:rFonts w:hint="eastAsia" w:ascii="新宋体" w:hAnsi="新宋体" w:eastAsia="新宋体"/>
        </w:rPr>
        <w:t>并</w:t>
      </w:r>
      <w:r>
        <w:rPr>
          <w:rFonts w:ascii="新宋体" w:hAnsi="新宋体" w:eastAsia="新宋体"/>
        </w:rPr>
        <w:t>提供集成服务，现</w:t>
      </w:r>
      <w:r>
        <w:rPr>
          <w:rFonts w:hint="eastAsia" w:ascii="新宋体" w:hAnsi="新宋体" w:eastAsia="新宋体"/>
        </w:rPr>
        <w:t>就“江苏如皋农村商业</w:t>
      </w:r>
      <w:r>
        <w:rPr>
          <w:rFonts w:ascii="新宋体" w:hAnsi="新宋体" w:eastAsia="新宋体"/>
        </w:rPr>
        <w:t>银行</w:t>
      </w:r>
      <w:r>
        <w:rPr>
          <w:rFonts w:hint="eastAsia" w:ascii="新宋体" w:hAnsi="新宋体" w:eastAsia="新宋体"/>
        </w:rPr>
        <w:t>北塔智慧运维</w:t>
      </w:r>
      <w:r>
        <w:rPr>
          <w:rFonts w:ascii="新宋体" w:hAnsi="新宋体" w:eastAsia="新宋体"/>
        </w:rPr>
        <w:t>管理平台采购</w:t>
      </w:r>
      <w:r>
        <w:rPr>
          <w:rFonts w:hint="eastAsia" w:ascii="新宋体" w:hAnsi="新宋体" w:eastAsia="新宋体"/>
        </w:rPr>
        <w:t>与集成服务项目”进行招标，请具备相应资格的投标方参加投标。</w:t>
      </w:r>
      <w:r>
        <w:rPr>
          <w:rFonts w:ascii="新宋体" w:hAnsi="新宋体" w:eastAsia="新宋体"/>
        </w:rPr>
        <w:t>若同意</w:t>
      </w:r>
      <w:r>
        <w:rPr>
          <w:rFonts w:hint="eastAsia" w:ascii="新宋体" w:hAnsi="新宋体" w:eastAsia="新宋体"/>
        </w:rPr>
        <w:t>相关</w:t>
      </w:r>
      <w:r>
        <w:rPr>
          <w:rFonts w:ascii="新宋体" w:hAnsi="新宋体" w:eastAsia="新宋体"/>
        </w:rPr>
        <w:t>要求，请参加投标。有关事项说明如下：</w:t>
      </w:r>
    </w:p>
    <w:p>
      <w:pPr>
        <w:spacing w:line="360" w:lineRule="auto"/>
        <w:rPr>
          <w:rFonts w:ascii="新宋体" w:hAnsi="新宋体" w:eastAsia="新宋体"/>
          <w:color w:val="000000"/>
        </w:rPr>
      </w:pPr>
      <w:r>
        <w:rPr>
          <w:rFonts w:hint="eastAsia" w:ascii="新宋体" w:hAnsi="新宋体" w:eastAsia="新宋体"/>
          <w:color w:val="000000"/>
        </w:rPr>
        <w:t>1、招标内容：江苏如皋农村商业</w:t>
      </w:r>
      <w:r>
        <w:rPr>
          <w:rFonts w:ascii="新宋体" w:hAnsi="新宋体" w:eastAsia="新宋体"/>
          <w:color w:val="000000"/>
        </w:rPr>
        <w:t>银行</w:t>
      </w:r>
      <w:r>
        <w:rPr>
          <w:rFonts w:hint="eastAsia" w:ascii="新宋体" w:hAnsi="新宋体" w:eastAsia="新宋体"/>
          <w:color w:val="000000"/>
        </w:rPr>
        <w:t>北塔智慧运维</w:t>
      </w:r>
      <w:r>
        <w:rPr>
          <w:rFonts w:ascii="新宋体" w:hAnsi="新宋体" w:eastAsia="新宋体"/>
          <w:color w:val="000000"/>
        </w:rPr>
        <w:t>管理平台采购</w:t>
      </w:r>
      <w:r>
        <w:rPr>
          <w:rFonts w:hint="eastAsia" w:ascii="新宋体" w:hAnsi="新宋体" w:eastAsia="新宋体"/>
          <w:color w:val="000000"/>
        </w:rPr>
        <w:t>及集成服务</w:t>
      </w:r>
    </w:p>
    <w:p>
      <w:pPr>
        <w:spacing w:line="360" w:lineRule="auto"/>
        <w:ind w:left="315" w:hanging="315" w:hangingChars="150"/>
        <w:rPr>
          <w:rFonts w:ascii="新宋体" w:hAnsi="新宋体" w:eastAsia="新宋体"/>
          <w:color w:val="000000"/>
        </w:rPr>
      </w:pPr>
      <w:r>
        <w:rPr>
          <w:rFonts w:hint="eastAsia" w:ascii="新宋体" w:hAnsi="新宋体" w:eastAsia="新宋体"/>
          <w:color w:val="000000"/>
        </w:rPr>
        <w:t>2、发放标书地点：江苏如皋农村商业银行股份有限公司</w:t>
      </w:r>
      <w:r>
        <w:rPr>
          <w:rFonts w:ascii="新宋体" w:hAnsi="新宋体" w:eastAsia="新宋体"/>
          <w:color w:val="000000"/>
        </w:rPr>
        <w:t>科技</w:t>
      </w:r>
      <w:r>
        <w:rPr>
          <w:rFonts w:hint="eastAsia" w:ascii="新宋体" w:hAnsi="新宋体" w:eastAsia="新宋体"/>
          <w:color w:val="000000"/>
        </w:rPr>
        <w:t>信息</w:t>
      </w:r>
      <w:r>
        <w:rPr>
          <w:rFonts w:ascii="新宋体" w:hAnsi="新宋体" w:eastAsia="新宋体"/>
          <w:color w:val="000000"/>
        </w:rPr>
        <w:t>部</w:t>
      </w:r>
    </w:p>
    <w:p>
      <w:pPr>
        <w:spacing w:line="360" w:lineRule="auto"/>
        <w:rPr>
          <w:rFonts w:ascii="新宋体" w:hAnsi="新宋体" w:eastAsia="新宋体"/>
          <w:color w:val="000000"/>
        </w:rPr>
      </w:pPr>
      <w:r>
        <w:rPr>
          <w:rFonts w:hint="eastAsia" w:ascii="新宋体" w:hAnsi="新宋体" w:eastAsia="新宋体"/>
          <w:color w:val="000000"/>
        </w:rPr>
        <w:t>5、投标截止时间：</w:t>
      </w:r>
      <w:r>
        <w:rPr>
          <w:rFonts w:ascii="新宋体" w:hAnsi="新宋体" w:eastAsia="新宋体"/>
          <w:color w:val="000000"/>
        </w:rPr>
        <w:t>20</w:t>
      </w:r>
      <w:r>
        <w:rPr>
          <w:rFonts w:hint="eastAsia" w:ascii="新宋体" w:hAnsi="新宋体" w:eastAsia="新宋体"/>
          <w:color w:val="000000"/>
        </w:rPr>
        <w:t>1</w:t>
      </w:r>
      <w:r>
        <w:rPr>
          <w:rFonts w:ascii="新宋体" w:hAnsi="新宋体" w:eastAsia="新宋体"/>
          <w:color w:val="000000"/>
        </w:rPr>
        <w:t>9年</w:t>
      </w:r>
      <w:r>
        <w:rPr>
          <w:rFonts w:hint="default" w:ascii="新宋体" w:hAnsi="新宋体" w:eastAsia="新宋体"/>
          <w:color w:val="000000"/>
          <w:lang w:val="en-US" w:eastAsia="zh-CN"/>
        </w:rPr>
        <w:t>7</w:t>
      </w:r>
      <w:r>
        <w:rPr>
          <w:rFonts w:ascii="新宋体" w:hAnsi="新宋体" w:eastAsia="新宋体"/>
          <w:color w:val="000000"/>
        </w:rPr>
        <w:t>月</w:t>
      </w:r>
      <w:r>
        <w:rPr>
          <w:rFonts w:hint="eastAsia" w:ascii="新宋体" w:hAnsi="新宋体" w:eastAsia="新宋体"/>
          <w:color w:val="000000"/>
        </w:rPr>
        <w:t xml:space="preserve"> </w:t>
      </w:r>
      <w:r>
        <w:rPr>
          <w:rFonts w:hint="default" w:ascii="新宋体" w:hAnsi="新宋体" w:eastAsia="新宋体"/>
          <w:color w:val="000000"/>
          <w:lang w:val="en-US" w:eastAsia="zh-CN"/>
        </w:rPr>
        <w:t>12</w:t>
      </w:r>
      <w:r>
        <w:rPr>
          <w:rFonts w:hint="eastAsia" w:ascii="新宋体" w:hAnsi="新宋体" w:eastAsia="新宋体"/>
          <w:color w:val="000000"/>
        </w:rPr>
        <w:t xml:space="preserve"> </w:t>
      </w:r>
      <w:r>
        <w:rPr>
          <w:rFonts w:ascii="新宋体" w:hAnsi="新宋体" w:eastAsia="新宋体"/>
          <w:color w:val="000000"/>
        </w:rPr>
        <w:t>日</w:t>
      </w:r>
      <w:r>
        <w:rPr>
          <w:rFonts w:hint="eastAsia" w:ascii="新宋体" w:hAnsi="新宋体" w:eastAsia="新宋体"/>
          <w:color w:val="000000"/>
        </w:rPr>
        <w:t>18：00以前 （北京时间）</w:t>
      </w:r>
    </w:p>
    <w:p>
      <w:pPr>
        <w:spacing w:line="360" w:lineRule="auto"/>
        <w:rPr>
          <w:rFonts w:ascii="新宋体" w:hAnsi="新宋体" w:eastAsia="新宋体"/>
          <w:color w:val="000000"/>
        </w:rPr>
      </w:pPr>
      <w:r>
        <w:rPr>
          <w:rFonts w:hint="eastAsia" w:ascii="新宋体" w:hAnsi="新宋体" w:eastAsia="新宋体"/>
          <w:color w:val="000000"/>
        </w:rPr>
        <w:t>6、投标有效期：投标截止日30天内</w:t>
      </w:r>
    </w:p>
    <w:p>
      <w:pPr>
        <w:spacing w:line="360" w:lineRule="auto"/>
        <w:rPr>
          <w:rFonts w:ascii="新宋体" w:hAnsi="新宋体" w:eastAsia="新宋体"/>
          <w:color w:val="000000"/>
        </w:rPr>
      </w:pPr>
      <w:r>
        <w:rPr>
          <w:rFonts w:hint="eastAsia" w:ascii="新宋体" w:hAnsi="新宋体" w:eastAsia="新宋体"/>
          <w:color w:val="000000"/>
        </w:rPr>
        <w:t>8、投标、开标地点：江苏如皋农村商业银行总行</w:t>
      </w:r>
    </w:p>
    <w:p>
      <w:pPr>
        <w:spacing w:line="360" w:lineRule="auto"/>
        <w:rPr>
          <w:rFonts w:ascii="新宋体" w:hAnsi="新宋体" w:eastAsia="新宋体"/>
          <w:color w:val="000000"/>
        </w:rPr>
      </w:pPr>
      <w:r>
        <w:rPr>
          <w:rFonts w:hint="eastAsia" w:ascii="新宋体" w:hAnsi="新宋体" w:eastAsia="新宋体"/>
          <w:color w:val="000000"/>
        </w:rPr>
        <w:t>9、开标时间：以招标方确定时间为准</w:t>
      </w:r>
    </w:p>
    <w:p>
      <w:pPr>
        <w:spacing w:line="360" w:lineRule="auto"/>
        <w:rPr>
          <w:rFonts w:ascii="新宋体" w:hAnsi="新宋体" w:eastAsia="新宋体"/>
          <w:color w:val="000000"/>
        </w:rPr>
      </w:pPr>
      <w:r>
        <w:rPr>
          <w:rFonts w:hint="eastAsia" w:ascii="新宋体" w:hAnsi="新宋体" w:eastAsia="新宋体"/>
          <w:color w:val="000000"/>
        </w:rPr>
        <w:t>10、联系地址：</w:t>
      </w:r>
      <w:r>
        <w:rPr>
          <w:rFonts w:hint="eastAsia" w:ascii="新宋体" w:hAnsi="新宋体" w:eastAsia="新宋体"/>
          <w:color w:val="000000"/>
          <w:lang w:eastAsia="zh-CN"/>
        </w:rPr>
        <w:t>如皋市海阳中路</w:t>
      </w:r>
      <w:r>
        <w:rPr>
          <w:rFonts w:hint="eastAsia" w:ascii="新宋体" w:hAnsi="新宋体" w:eastAsia="新宋体"/>
          <w:color w:val="000000"/>
          <w:lang w:val="en-US" w:eastAsia="zh-CN"/>
        </w:rPr>
        <w:t>195号</w:t>
      </w:r>
      <w:r>
        <w:rPr>
          <w:rFonts w:hint="eastAsia" w:ascii="新宋体" w:hAnsi="新宋体" w:eastAsia="新宋体"/>
          <w:color w:val="000000"/>
        </w:rPr>
        <w:t xml:space="preserve"> </w:t>
      </w:r>
    </w:p>
    <w:p>
      <w:pPr>
        <w:spacing w:line="360" w:lineRule="auto"/>
        <w:ind w:firstLine="420" w:firstLineChars="200"/>
        <w:rPr>
          <w:rFonts w:hint="default" w:ascii="新宋体" w:hAnsi="新宋体" w:eastAsia="新宋体"/>
          <w:color w:val="000000"/>
          <w:lang w:val="en-US" w:eastAsia="zh-CN"/>
        </w:rPr>
      </w:pPr>
      <w:r>
        <w:rPr>
          <w:rFonts w:hint="eastAsia" w:ascii="新宋体" w:hAnsi="新宋体" w:eastAsia="新宋体"/>
          <w:color w:val="000000"/>
        </w:rPr>
        <w:t xml:space="preserve">邮    编： </w:t>
      </w:r>
      <w:r>
        <w:rPr>
          <w:rFonts w:hint="eastAsia" w:ascii="新宋体" w:hAnsi="新宋体" w:eastAsia="新宋体"/>
          <w:color w:val="000000"/>
          <w:lang w:val="en-US" w:eastAsia="zh-CN"/>
        </w:rPr>
        <w:t>226500</w:t>
      </w:r>
    </w:p>
    <w:p>
      <w:pPr>
        <w:spacing w:line="360" w:lineRule="auto"/>
        <w:ind w:firstLine="420" w:firstLineChars="200"/>
        <w:rPr>
          <w:rFonts w:hint="default" w:ascii="新宋体" w:hAnsi="新宋体" w:eastAsia="新宋体"/>
          <w:color w:val="000000"/>
          <w:lang w:val="en-US" w:eastAsia="zh-CN"/>
        </w:rPr>
      </w:pPr>
      <w:r>
        <w:rPr>
          <w:rFonts w:hint="eastAsia" w:ascii="新宋体" w:hAnsi="新宋体" w:eastAsia="新宋体"/>
          <w:color w:val="000000"/>
        </w:rPr>
        <w:t>电    话：</w:t>
      </w:r>
      <w:r>
        <w:rPr>
          <w:rFonts w:hint="eastAsia" w:ascii="新宋体" w:hAnsi="新宋体" w:eastAsia="新宋体"/>
          <w:color w:val="000000"/>
          <w:lang w:val="en-US" w:eastAsia="zh-CN"/>
        </w:rPr>
        <w:t>0513-87616088</w:t>
      </w:r>
    </w:p>
    <w:p>
      <w:pPr>
        <w:spacing w:line="360" w:lineRule="auto"/>
        <w:ind w:firstLine="420" w:firstLineChars="200"/>
        <w:rPr>
          <w:rFonts w:hint="eastAsia" w:ascii="新宋体" w:hAnsi="新宋体" w:eastAsia="新宋体"/>
          <w:color w:val="000000"/>
          <w:lang w:eastAsia="zh-CN"/>
        </w:rPr>
      </w:pPr>
      <w:r>
        <w:rPr>
          <w:rFonts w:hint="eastAsia" w:ascii="新宋体" w:hAnsi="新宋体" w:eastAsia="新宋体"/>
          <w:color w:val="000000"/>
        </w:rPr>
        <w:t>联 系 人： 曹</w:t>
      </w:r>
      <w:r>
        <w:rPr>
          <w:rFonts w:hint="eastAsia" w:ascii="新宋体" w:hAnsi="新宋体" w:eastAsia="新宋体"/>
          <w:color w:val="000000"/>
          <w:lang w:eastAsia="zh-CN"/>
        </w:rPr>
        <w:t>杰</w:t>
      </w:r>
    </w:p>
    <w:p>
      <w:pPr>
        <w:spacing w:line="360" w:lineRule="auto"/>
        <w:rPr>
          <w:rFonts w:ascii="新宋体" w:hAnsi="新宋体" w:eastAsia="新宋体"/>
          <w:color w:val="000000"/>
        </w:rPr>
      </w:pPr>
      <w:r>
        <w:rPr>
          <w:rFonts w:hint="eastAsia" w:ascii="新宋体" w:hAnsi="新宋体" w:eastAsia="新宋体"/>
          <w:color w:val="000000"/>
        </w:rPr>
        <w:t>请贵单位收到本招标文件后，认真阅读各项内容，进行必要的投标准备，并按招标文件的要求详细填写和编制投标文件，并按招标文件确定的投标时间、地点准时参加投标。</w:t>
      </w:r>
    </w:p>
    <w:p>
      <w:pPr>
        <w:rPr>
          <w:rFonts w:ascii="新宋体" w:hAnsi="新宋体" w:eastAsia="新宋体"/>
          <w:color w:val="000000"/>
          <w:sz w:val="28"/>
          <w:szCs w:val="28"/>
        </w:rPr>
      </w:pPr>
      <w:bookmarkStart w:id="8" w:name="_Toc448304477"/>
      <w:bookmarkEnd w:id="8"/>
      <w:bookmarkStart w:id="9" w:name="_Toc448301800"/>
      <w:bookmarkEnd w:id="9"/>
    </w:p>
    <w:p>
      <w:pPr>
        <w:wordWrap w:val="0"/>
        <w:jc w:val="right"/>
        <w:rPr>
          <w:rFonts w:ascii="新宋体" w:hAnsi="新宋体" w:eastAsia="新宋体"/>
          <w:color w:val="000000"/>
          <w:sz w:val="28"/>
          <w:szCs w:val="28"/>
        </w:rPr>
      </w:pPr>
      <w:r>
        <w:rPr>
          <w:rFonts w:hint="eastAsia" w:ascii="新宋体" w:hAnsi="新宋体" w:eastAsia="新宋体"/>
          <w:color w:val="000000"/>
          <w:sz w:val="28"/>
          <w:szCs w:val="28"/>
        </w:rPr>
        <w:t xml:space="preserve">2019年 </w:t>
      </w:r>
      <w:r>
        <w:rPr>
          <w:rFonts w:hint="default" w:ascii="新宋体" w:hAnsi="新宋体" w:eastAsia="新宋体"/>
          <w:color w:val="000000"/>
          <w:sz w:val="28"/>
          <w:szCs w:val="28"/>
          <w:lang w:val="en-US"/>
        </w:rPr>
        <w:t>7</w:t>
      </w:r>
      <w:r>
        <w:rPr>
          <w:rFonts w:hint="eastAsia" w:ascii="新宋体" w:hAnsi="新宋体" w:eastAsia="新宋体"/>
          <w:color w:val="000000"/>
          <w:sz w:val="28"/>
          <w:szCs w:val="28"/>
        </w:rPr>
        <w:t xml:space="preserve"> 月</w:t>
      </w:r>
      <w:r>
        <w:rPr>
          <w:rFonts w:hint="default" w:ascii="新宋体" w:hAnsi="新宋体" w:eastAsia="新宋体"/>
          <w:color w:val="000000"/>
          <w:sz w:val="28"/>
          <w:szCs w:val="28"/>
          <w:lang w:val="en-US"/>
        </w:rPr>
        <w:t>5</w:t>
      </w:r>
      <w:bookmarkStart w:id="152" w:name="_GoBack"/>
      <w:bookmarkEnd w:id="152"/>
      <w:r>
        <w:rPr>
          <w:rFonts w:hint="eastAsia" w:ascii="新宋体" w:hAnsi="新宋体" w:eastAsia="新宋体"/>
          <w:color w:val="000000"/>
          <w:sz w:val="28"/>
          <w:szCs w:val="28"/>
        </w:rPr>
        <w:t xml:space="preserve">  日</w:t>
      </w:r>
    </w:p>
    <w:p>
      <w:pPr>
        <w:pStyle w:val="2"/>
        <w:numPr>
          <w:ilvl w:val="0"/>
          <w:numId w:val="0"/>
        </w:numPr>
        <w:spacing w:before="0" w:after="0" w:line="360" w:lineRule="exact"/>
        <w:ind w:left="842"/>
        <w:rPr>
          <w:rFonts w:ascii="新宋体" w:hAnsi="新宋体" w:eastAsia="新宋体"/>
          <w:color w:val="000000"/>
          <w:sz w:val="28"/>
          <w:szCs w:val="28"/>
        </w:rPr>
      </w:pPr>
      <w:bookmarkStart w:id="10" w:name="_Toc312695273"/>
      <w:bookmarkStart w:id="11" w:name="_Toc3215844"/>
      <w:bookmarkStart w:id="12" w:name="_Toc312695173"/>
      <w:bookmarkStart w:id="13" w:name="_Toc313483544"/>
      <w:bookmarkStart w:id="14" w:name="_Toc312695458"/>
      <w:r>
        <w:rPr>
          <w:rFonts w:hint="eastAsia" w:ascii="新宋体" w:hAnsi="新宋体" w:eastAsia="新宋体"/>
          <w:color w:val="000000"/>
          <w:sz w:val="28"/>
          <w:szCs w:val="28"/>
        </w:rPr>
        <w:t>第二部分投标方须知</w:t>
      </w:r>
      <w:bookmarkEnd w:id="10"/>
      <w:bookmarkEnd w:id="11"/>
      <w:bookmarkEnd w:id="12"/>
      <w:bookmarkEnd w:id="13"/>
      <w:bookmarkEnd w:id="14"/>
    </w:p>
    <w:p>
      <w:pPr>
        <w:pStyle w:val="24"/>
        <w:rPr>
          <w:rFonts w:ascii="新宋体" w:hAnsi="新宋体" w:eastAsia="新宋体"/>
          <w:color w:val="000000"/>
          <w:sz w:val="24"/>
          <w:szCs w:val="24"/>
        </w:rPr>
      </w:pPr>
      <w:bookmarkStart w:id="15" w:name="_Toc313483545"/>
      <w:bookmarkStart w:id="16" w:name="_Toc3215845"/>
      <w:bookmarkStart w:id="17" w:name="_Toc312695174"/>
      <w:bookmarkStart w:id="18" w:name="_Toc312695459"/>
      <w:bookmarkStart w:id="19" w:name="_Toc312695274"/>
      <w:r>
        <w:rPr>
          <w:rFonts w:hint="eastAsia" w:ascii="新宋体" w:hAnsi="新宋体" w:eastAsia="新宋体"/>
          <w:color w:val="000000"/>
          <w:sz w:val="24"/>
          <w:szCs w:val="24"/>
        </w:rPr>
        <w:t>A  说明</w:t>
      </w:r>
      <w:bookmarkEnd w:id="15"/>
      <w:bookmarkEnd w:id="16"/>
      <w:bookmarkEnd w:id="17"/>
      <w:bookmarkEnd w:id="18"/>
      <w:bookmarkEnd w:id="19"/>
    </w:p>
    <w:p>
      <w:pPr>
        <w:spacing w:line="276" w:lineRule="auto"/>
        <w:rPr>
          <w:rFonts w:ascii="新宋体" w:hAnsi="新宋体" w:eastAsia="新宋体"/>
          <w:b/>
          <w:color w:val="000000"/>
          <w:sz w:val="24"/>
        </w:rPr>
      </w:pPr>
      <w:bookmarkStart w:id="20" w:name="_Toc313483546"/>
      <w:bookmarkStart w:id="21" w:name="_Toc312695275"/>
      <w:bookmarkStart w:id="22" w:name="_Toc312695460"/>
      <w:r>
        <w:rPr>
          <w:rFonts w:hint="eastAsia" w:ascii="新宋体" w:hAnsi="新宋体" w:eastAsia="新宋体"/>
          <w:b/>
          <w:color w:val="000000"/>
          <w:sz w:val="24"/>
        </w:rPr>
        <w:t>1、适用范围</w:t>
      </w:r>
      <w:bookmarkEnd w:id="20"/>
      <w:bookmarkEnd w:id="21"/>
      <w:bookmarkEnd w:id="22"/>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1.1 本招标文件仅适用于本次招标</w:t>
      </w:r>
      <w:r>
        <w:rPr>
          <w:rFonts w:ascii="新宋体" w:hAnsi="新宋体" w:eastAsia="新宋体"/>
          <w:color w:val="000000"/>
          <w:sz w:val="24"/>
        </w:rPr>
        <w:t>文件</w:t>
      </w:r>
      <w:r>
        <w:rPr>
          <w:rFonts w:hint="eastAsia" w:ascii="新宋体" w:hAnsi="新宋体" w:eastAsia="新宋体"/>
          <w:color w:val="000000"/>
          <w:sz w:val="24"/>
        </w:rPr>
        <w:t>中所叙述项目的招标。</w:t>
      </w:r>
    </w:p>
    <w:p>
      <w:pPr>
        <w:spacing w:line="276" w:lineRule="auto"/>
        <w:rPr>
          <w:rFonts w:ascii="新宋体" w:hAnsi="新宋体" w:eastAsia="新宋体"/>
          <w:b/>
          <w:color w:val="000000"/>
          <w:sz w:val="24"/>
        </w:rPr>
      </w:pPr>
      <w:bookmarkStart w:id="23" w:name="_Toc312695461"/>
      <w:bookmarkStart w:id="24" w:name="_Toc313483547"/>
      <w:bookmarkStart w:id="25" w:name="_Toc312695276"/>
      <w:r>
        <w:rPr>
          <w:rFonts w:hint="eastAsia" w:ascii="新宋体" w:hAnsi="新宋体" w:eastAsia="新宋体"/>
          <w:b/>
          <w:color w:val="000000"/>
          <w:sz w:val="24"/>
        </w:rPr>
        <w:t>2、定义</w:t>
      </w:r>
      <w:bookmarkEnd w:id="23"/>
      <w:bookmarkEnd w:id="24"/>
      <w:bookmarkEnd w:id="25"/>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2.1“招标方”系指：</w:t>
      </w:r>
      <w:r>
        <w:rPr>
          <w:rFonts w:hint="eastAsia" w:ascii="新宋体" w:hAnsi="新宋体" w:eastAsia="新宋体"/>
          <w:bCs/>
          <w:iCs/>
          <w:color w:val="000000"/>
          <w:sz w:val="24"/>
        </w:rPr>
        <w:t>江苏如皋农村商业银行股份有限公司</w:t>
      </w:r>
      <w:r>
        <w:rPr>
          <w:rFonts w:hint="eastAsia" w:ascii="新宋体" w:hAnsi="新宋体" w:eastAsia="新宋体"/>
          <w:color w:val="000000"/>
          <w:sz w:val="24"/>
        </w:rPr>
        <w:t>。</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2.2“投标方”系指：</w:t>
      </w:r>
    </w:p>
    <w:p>
      <w:pPr>
        <w:numPr>
          <w:ilvl w:val="0"/>
          <w:numId w:val="7"/>
        </w:numPr>
        <w:spacing w:line="276" w:lineRule="auto"/>
        <w:rPr>
          <w:rFonts w:ascii="新宋体" w:hAnsi="新宋体" w:eastAsia="新宋体"/>
          <w:color w:val="000000"/>
          <w:sz w:val="24"/>
        </w:rPr>
      </w:pPr>
      <w:r>
        <w:rPr>
          <w:rFonts w:hint="eastAsia" w:ascii="新宋体" w:hAnsi="新宋体" w:eastAsia="新宋体"/>
          <w:color w:val="000000"/>
          <w:sz w:val="24"/>
        </w:rPr>
        <w:t>投标方须是工商部门颁发营业执照的法人经济实体，</w:t>
      </w:r>
      <w:r>
        <w:rPr>
          <w:rFonts w:ascii="新宋体" w:hAnsi="新宋体" w:eastAsia="新宋体"/>
          <w:color w:val="000000"/>
          <w:sz w:val="24"/>
          <w:lang w:val="zh-CN"/>
        </w:rPr>
        <w:t>有依法缴纳税收和社会保障资金的良好记录</w:t>
      </w:r>
      <w:r>
        <w:rPr>
          <w:rFonts w:hint="eastAsia" w:ascii="新宋体" w:hAnsi="新宋体" w:eastAsia="新宋体"/>
          <w:color w:val="000000"/>
          <w:sz w:val="24"/>
        </w:rPr>
        <w:t>。</w:t>
      </w:r>
    </w:p>
    <w:p>
      <w:pPr>
        <w:numPr>
          <w:ilvl w:val="0"/>
          <w:numId w:val="7"/>
        </w:numPr>
        <w:spacing w:line="276" w:lineRule="auto"/>
        <w:rPr>
          <w:rFonts w:ascii="新宋体" w:hAnsi="新宋体" w:eastAsia="新宋体"/>
          <w:sz w:val="24"/>
        </w:rPr>
      </w:pPr>
      <w:r>
        <w:rPr>
          <w:rFonts w:hint="eastAsia" w:ascii="新宋体" w:hAnsi="新宋体" w:eastAsia="新宋体"/>
          <w:sz w:val="24"/>
        </w:rPr>
        <w:t>投标方注册资金要求在200万元(含)以上，</w:t>
      </w:r>
      <w:r>
        <w:rPr>
          <w:rFonts w:ascii="新宋体" w:hAnsi="新宋体" w:eastAsia="新宋体"/>
          <w:sz w:val="24"/>
          <w:lang w:val="zh-CN"/>
        </w:rPr>
        <w:t>具有良好的商业信誉和健全的财务会计制度</w:t>
      </w:r>
      <w:r>
        <w:rPr>
          <w:rFonts w:hint="eastAsia" w:ascii="新宋体" w:hAnsi="新宋体" w:eastAsia="新宋体"/>
          <w:sz w:val="24"/>
          <w:lang w:val="zh-CN"/>
        </w:rPr>
        <w:t>。</w:t>
      </w:r>
    </w:p>
    <w:p>
      <w:pPr>
        <w:numPr>
          <w:ilvl w:val="0"/>
          <w:numId w:val="7"/>
        </w:numPr>
        <w:spacing w:line="276" w:lineRule="auto"/>
        <w:rPr>
          <w:rFonts w:ascii="新宋体" w:hAnsi="新宋体" w:eastAsia="新宋体"/>
          <w:sz w:val="24"/>
        </w:rPr>
      </w:pPr>
      <w:r>
        <w:rPr>
          <w:rFonts w:hint="eastAsia" w:ascii="新宋体" w:hAnsi="新宋体" w:eastAsia="新宋体"/>
          <w:sz w:val="24"/>
        </w:rPr>
        <w:t>投标方须具备一定的网络管理</w:t>
      </w:r>
      <w:r>
        <w:rPr>
          <w:rFonts w:ascii="新宋体" w:hAnsi="新宋体" w:eastAsia="新宋体"/>
          <w:sz w:val="24"/>
        </w:rPr>
        <w:t>平台</w:t>
      </w:r>
      <w:r>
        <w:rPr>
          <w:rFonts w:hint="eastAsia" w:ascii="新宋体" w:hAnsi="新宋体" w:eastAsia="新宋体"/>
          <w:sz w:val="24"/>
        </w:rPr>
        <w:t>集成和售后服务能力。</w:t>
      </w:r>
    </w:p>
    <w:p>
      <w:pPr>
        <w:numPr>
          <w:ilvl w:val="0"/>
          <w:numId w:val="7"/>
        </w:numPr>
        <w:spacing w:line="276" w:lineRule="auto"/>
        <w:rPr>
          <w:rFonts w:ascii="新宋体" w:hAnsi="新宋体" w:eastAsia="新宋体"/>
          <w:sz w:val="24"/>
        </w:rPr>
      </w:pPr>
      <w:r>
        <w:rPr>
          <w:rFonts w:hint="eastAsia" w:ascii="新宋体" w:hAnsi="新宋体" w:eastAsia="新宋体"/>
          <w:sz w:val="24"/>
        </w:rPr>
        <w:t>投标方对须获得设备原厂商</w:t>
      </w:r>
      <w:r>
        <w:rPr>
          <w:rFonts w:hint="eastAsia" w:ascii="新宋体" w:hAnsi="新宋体" w:eastAsia="新宋体"/>
          <w:b w:val="0"/>
          <w:bCs w:val="0"/>
          <w:color w:val="auto"/>
          <w:sz w:val="24"/>
        </w:rPr>
        <w:t>（北塔）针</w:t>
      </w:r>
      <w:r>
        <w:rPr>
          <w:rFonts w:hint="eastAsia" w:ascii="新宋体" w:hAnsi="新宋体" w:eastAsia="新宋体"/>
          <w:sz w:val="24"/>
        </w:rPr>
        <w:t>对本次项目的授权和原厂一年质保承诺函，</w:t>
      </w:r>
      <w:r>
        <w:rPr>
          <w:rFonts w:ascii="新宋体" w:hAnsi="新宋体" w:eastAsia="新宋体"/>
          <w:sz w:val="24"/>
        </w:rPr>
        <w:t>否则</w:t>
      </w:r>
      <w:r>
        <w:rPr>
          <w:rFonts w:hint="eastAsia" w:ascii="新宋体" w:hAnsi="新宋体" w:eastAsia="新宋体"/>
          <w:sz w:val="24"/>
        </w:rPr>
        <w:t>可能</w:t>
      </w:r>
      <w:r>
        <w:rPr>
          <w:rFonts w:ascii="新宋体" w:hAnsi="新宋体" w:eastAsia="新宋体"/>
          <w:sz w:val="24"/>
        </w:rPr>
        <w:t>会导致无效投标</w:t>
      </w:r>
      <w:r>
        <w:rPr>
          <w:rFonts w:hint="eastAsia" w:ascii="新宋体" w:hAnsi="新宋体" w:eastAsia="新宋体"/>
          <w:sz w:val="24"/>
        </w:rPr>
        <w:t>。</w:t>
      </w:r>
    </w:p>
    <w:p>
      <w:pPr>
        <w:numPr>
          <w:ilvl w:val="0"/>
          <w:numId w:val="7"/>
        </w:numPr>
        <w:spacing w:line="276" w:lineRule="auto"/>
        <w:rPr>
          <w:rFonts w:ascii="新宋体" w:hAnsi="新宋体" w:eastAsia="新宋体"/>
          <w:sz w:val="24"/>
        </w:rPr>
      </w:pPr>
      <w:r>
        <w:rPr>
          <w:rFonts w:hint="eastAsia" w:ascii="新宋体" w:hAnsi="新宋体" w:eastAsia="新宋体"/>
          <w:color w:val="000000"/>
          <w:sz w:val="24"/>
        </w:rPr>
        <w:t>投标方</w:t>
      </w:r>
      <w:r>
        <w:rPr>
          <w:rFonts w:hint="eastAsia" w:ascii="新宋体" w:hAnsi="新宋体" w:eastAsia="新宋体"/>
          <w:sz w:val="24"/>
        </w:rPr>
        <w:t>须确保本次投标管理平台为原厂正规渠道产品，提供原厂壹年质保并严格按照招标文件设备清单报价不得随意更改</w:t>
      </w:r>
      <w:r>
        <w:rPr>
          <w:rFonts w:ascii="新宋体" w:hAnsi="新宋体" w:eastAsia="新宋体"/>
          <w:sz w:val="24"/>
        </w:rPr>
        <w:t>设备</w:t>
      </w:r>
      <w:r>
        <w:rPr>
          <w:rFonts w:hint="eastAsia" w:ascii="新宋体" w:hAnsi="新宋体" w:eastAsia="新宋体"/>
          <w:sz w:val="24"/>
        </w:rPr>
        <w:t>品牌</w:t>
      </w:r>
      <w:r>
        <w:rPr>
          <w:rFonts w:ascii="新宋体" w:hAnsi="新宋体" w:eastAsia="新宋体"/>
          <w:sz w:val="24"/>
        </w:rPr>
        <w:t>、型号、数量</w:t>
      </w:r>
      <w:r>
        <w:rPr>
          <w:rFonts w:hint="eastAsia" w:ascii="新宋体" w:hAnsi="新宋体" w:eastAsia="新宋体"/>
          <w:sz w:val="24"/>
        </w:rPr>
        <w:t>。必须</w:t>
      </w:r>
      <w:r>
        <w:rPr>
          <w:rFonts w:ascii="新宋体" w:hAnsi="新宋体" w:eastAsia="新宋体"/>
          <w:sz w:val="24"/>
        </w:rPr>
        <w:t>满足招标文件</w:t>
      </w:r>
      <w:r>
        <w:rPr>
          <w:rFonts w:hint="eastAsia" w:ascii="新宋体" w:hAnsi="新宋体" w:eastAsia="新宋体"/>
          <w:sz w:val="24"/>
        </w:rPr>
        <w:t>要求</w:t>
      </w:r>
      <w:r>
        <w:rPr>
          <w:rFonts w:ascii="新宋体" w:hAnsi="新宋体" w:eastAsia="新宋体"/>
          <w:sz w:val="24"/>
        </w:rPr>
        <w:t>的技术参数。</w:t>
      </w:r>
    </w:p>
    <w:p>
      <w:pPr>
        <w:numPr>
          <w:ilvl w:val="0"/>
          <w:numId w:val="7"/>
        </w:numPr>
        <w:spacing w:line="276" w:lineRule="auto"/>
        <w:rPr>
          <w:rFonts w:ascii="新宋体" w:hAnsi="新宋体" w:eastAsia="新宋体"/>
          <w:color w:val="000000"/>
          <w:sz w:val="24"/>
        </w:rPr>
      </w:pPr>
      <w:r>
        <w:rPr>
          <w:rFonts w:hint="eastAsia" w:ascii="新宋体" w:hAnsi="新宋体" w:eastAsia="新宋体"/>
          <w:color w:val="000000"/>
          <w:sz w:val="24"/>
        </w:rPr>
        <w:t>本次项目不得联合投标，中标方中标后不得以任何方式分包转包，否则一经查实作废标处理。</w:t>
      </w:r>
    </w:p>
    <w:p>
      <w:pPr>
        <w:spacing w:line="276" w:lineRule="auto"/>
        <w:ind w:left="720"/>
        <w:rPr>
          <w:rFonts w:ascii="新宋体" w:hAnsi="新宋体" w:eastAsia="新宋体"/>
          <w:color w:val="000000"/>
          <w:sz w:val="24"/>
        </w:rPr>
      </w:pP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2.3 “货物”系指：投标方按招标文件规定须向招标方提供的一切设备、备品备件、工具、手册及其它有关技术资料和材料。</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2.4 “集成服务”系指：投标方须承担的设计、安装、调试、技术协助、培训以及其他类似的义务。</w:t>
      </w:r>
    </w:p>
    <w:p>
      <w:pPr>
        <w:spacing w:line="276" w:lineRule="auto"/>
        <w:rPr>
          <w:rFonts w:ascii="新宋体" w:hAnsi="新宋体" w:eastAsia="新宋体"/>
          <w:b/>
          <w:color w:val="000000"/>
          <w:sz w:val="24"/>
        </w:rPr>
      </w:pPr>
      <w:bookmarkStart w:id="26" w:name="_Toc312695462"/>
      <w:bookmarkStart w:id="27" w:name="_Toc312695277"/>
      <w:bookmarkStart w:id="28" w:name="_Toc313483548"/>
      <w:r>
        <w:rPr>
          <w:rFonts w:hint="eastAsia" w:ascii="新宋体" w:hAnsi="新宋体" w:eastAsia="新宋体"/>
          <w:b/>
          <w:color w:val="000000"/>
          <w:sz w:val="24"/>
        </w:rPr>
        <w:t>3、合格的投标方</w:t>
      </w:r>
      <w:bookmarkEnd w:id="26"/>
      <w:bookmarkEnd w:id="27"/>
      <w:bookmarkEnd w:id="28"/>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3.1凡符合2.2条件均为合格投标方。</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3.2投标方应遵守有关的法律和规章条例。</w:t>
      </w:r>
    </w:p>
    <w:p>
      <w:pPr>
        <w:spacing w:line="276" w:lineRule="auto"/>
        <w:rPr>
          <w:rFonts w:ascii="新宋体" w:hAnsi="新宋体" w:eastAsia="新宋体"/>
          <w:b/>
          <w:color w:val="000000"/>
          <w:sz w:val="24"/>
        </w:rPr>
      </w:pPr>
      <w:bookmarkStart w:id="29" w:name="_Toc312695463"/>
      <w:bookmarkStart w:id="30" w:name="_Toc312695278"/>
      <w:bookmarkStart w:id="31" w:name="_Toc313483549"/>
      <w:r>
        <w:rPr>
          <w:rFonts w:hint="eastAsia" w:ascii="新宋体" w:hAnsi="新宋体" w:eastAsia="新宋体"/>
          <w:b/>
          <w:color w:val="000000"/>
          <w:sz w:val="24"/>
        </w:rPr>
        <w:t>4、投标费用</w:t>
      </w:r>
      <w:bookmarkEnd w:id="29"/>
      <w:bookmarkEnd w:id="30"/>
      <w:bookmarkEnd w:id="31"/>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4.1无论投标过程中的做法和结果如何，投标方自行承担所有与参加投标有关的全部费用。</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4.2投标报价统一为人民币报价，单位：元。</w:t>
      </w:r>
    </w:p>
    <w:p>
      <w:pPr>
        <w:pStyle w:val="24"/>
        <w:rPr>
          <w:rFonts w:ascii="新宋体" w:hAnsi="新宋体" w:eastAsia="新宋体"/>
          <w:color w:val="000000"/>
          <w:sz w:val="24"/>
          <w:szCs w:val="24"/>
        </w:rPr>
      </w:pPr>
      <w:bookmarkStart w:id="32" w:name="_Toc312695464"/>
      <w:bookmarkStart w:id="33" w:name="_Toc312695279"/>
      <w:bookmarkStart w:id="34" w:name="_Toc313483550"/>
      <w:bookmarkStart w:id="35" w:name="_Toc312695175"/>
      <w:bookmarkStart w:id="36" w:name="_Toc3215846"/>
      <w:r>
        <w:rPr>
          <w:rFonts w:hint="eastAsia" w:ascii="新宋体" w:hAnsi="新宋体" w:eastAsia="新宋体"/>
          <w:color w:val="000000"/>
          <w:sz w:val="24"/>
          <w:szCs w:val="24"/>
        </w:rPr>
        <w:t>B  招标文件说明</w:t>
      </w:r>
      <w:bookmarkEnd w:id="32"/>
      <w:bookmarkEnd w:id="33"/>
      <w:bookmarkEnd w:id="34"/>
      <w:bookmarkEnd w:id="35"/>
      <w:bookmarkEnd w:id="36"/>
    </w:p>
    <w:p>
      <w:pPr>
        <w:spacing w:line="276" w:lineRule="auto"/>
        <w:rPr>
          <w:rFonts w:ascii="新宋体" w:hAnsi="新宋体" w:eastAsia="新宋体"/>
          <w:b/>
          <w:color w:val="000000"/>
          <w:sz w:val="24"/>
        </w:rPr>
      </w:pPr>
      <w:bookmarkStart w:id="37" w:name="_Toc312695465"/>
      <w:bookmarkStart w:id="38" w:name="_Toc313483551"/>
      <w:bookmarkStart w:id="39" w:name="_Toc312695280"/>
      <w:r>
        <w:rPr>
          <w:rFonts w:hint="eastAsia" w:ascii="新宋体" w:hAnsi="新宋体" w:eastAsia="新宋体"/>
          <w:b/>
          <w:color w:val="000000"/>
          <w:sz w:val="24"/>
        </w:rPr>
        <w:t>5、招标文件的构成</w:t>
      </w:r>
      <w:bookmarkEnd w:id="37"/>
      <w:bookmarkEnd w:id="38"/>
      <w:bookmarkEnd w:id="39"/>
    </w:p>
    <w:p>
      <w:pPr>
        <w:spacing w:line="276" w:lineRule="auto"/>
        <w:ind w:firstLine="120" w:firstLineChars="50"/>
        <w:rPr>
          <w:rFonts w:ascii="新宋体" w:hAnsi="新宋体" w:eastAsia="新宋体"/>
          <w:color w:val="000000"/>
          <w:sz w:val="24"/>
        </w:rPr>
      </w:pPr>
      <w:bookmarkStart w:id="40" w:name="_Toc313483553"/>
      <w:bookmarkStart w:id="41" w:name="_Toc312695282"/>
      <w:bookmarkStart w:id="42" w:name="_Toc312695467"/>
      <w:r>
        <w:rPr>
          <w:rFonts w:hint="eastAsia" w:ascii="新宋体" w:hAnsi="新宋体" w:eastAsia="新宋体"/>
          <w:color w:val="000000"/>
          <w:sz w:val="24"/>
        </w:rPr>
        <w:t>5.1 招标文件由下述部分组成：</w:t>
      </w:r>
      <w:bookmarkEnd w:id="40"/>
      <w:bookmarkEnd w:id="41"/>
      <w:bookmarkEnd w:id="42"/>
    </w:p>
    <w:p>
      <w:pPr>
        <w:spacing w:line="276" w:lineRule="auto"/>
        <w:ind w:firstLine="240" w:firstLineChars="100"/>
        <w:rPr>
          <w:rFonts w:ascii="新宋体" w:hAnsi="新宋体" w:eastAsia="新宋体"/>
          <w:color w:val="000000"/>
          <w:sz w:val="24"/>
        </w:rPr>
      </w:pPr>
      <w:r>
        <w:rPr>
          <w:rFonts w:hint="eastAsia" w:ascii="新宋体" w:hAnsi="新宋体" w:eastAsia="新宋体"/>
          <w:color w:val="000000"/>
          <w:sz w:val="24"/>
        </w:rPr>
        <w:t>投标书</w:t>
      </w:r>
    </w:p>
    <w:p>
      <w:pPr>
        <w:spacing w:line="276" w:lineRule="auto"/>
        <w:ind w:firstLine="240" w:firstLineChars="100"/>
        <w:rPr>
          <w:rFonts w:ascii="新宋体" w:hAnsi="新宋体" w:eastAsia="新宋体"/>
          <w:color w:val="000000"/>
          <w:sz w:val="24"/>
        </w:rPr>
      </w:pPr>
      <w:r>
        <w:rPr>
          <w:rFonts w:hint="eastAsia" w:ascii="新宋体" w:hAnsi="新宋体" w:eastAsia="新宋体"/>
          <w:color w:val="000000"/>
          <w:sz w:val="24"/>
        </w:rPr>
        <w:t>投标方须知</w:t>
      </w:r>
    </w:p>
    <w:p>
      <w:pPr>
        <w:spacing w:line="276" w:lineRule="auto"/>
        <w:ind w:firstLine="240" w:firstLineChars="100"/>
        <w:rPr>
          <w:rFonts w:ascii="新宋体" w:hAnsi="新宋体" w:eastAsia="新宋体"/>
          <w:color w:val="000000"/>
          <w:sz w:val="24"/>
        </w:rPr>
      </w:pPr>
      <w:r>
        <w:rPr>
          <w:rFonts w:hint="eastAsia" w:ascii="新宋体" w:hAnsi="新宋体" w:eastAsia="新宋体"/>
          <w:bCs/>
          <w:iCs/>
          <w:color w:val="000000"/>
          <w:sz w:val="24"/>
        </w:rPr>
        <w:t>项目技术</w:t>
      </w:r>
      <w:r>
        <w:rPr>
          <w:rFonts w:hint="eastAsia" w:ascii="新宋体" w:hAnsi="新宋体" w:eastAsia="新宋体"/>
          <w:color w:val="000000"/>
          <w:sz w:val="24"/>
        </w:rPr>
        <w:t>需求</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5.2除非有特殊要求，招标文件不单独提供招标货物使用地的自然环境、气候条件、公用设施等情况，投标方被视为熟悉上述与履行合同有关的一切情况。</w:t>
      </w:r>
    </w:p>
    <w:p>
      <w:pPr>
        <w:pStyle w:val="24"/>
        <w:rPr>
          <w:rFonts w:ascii="新宋体" w:hAnsi="新宋体" w:eastAsia="新宋体"/>
          <w:color w:val="000000"/>
          <w:sz w:val="24"/>
          <w:szCs w:val="24"/>
        </w:rPr>
      </w:pPr>
      <w:bookmarkStart w:id="43" w:name="_Toc312695176"/>
      <w:bookmarkStart w:id="44" w:name="_Toc313483556"/>
      <w:bookmarkStart w:id="45" w:name="_Toc312695285"/>
      <w:bookmarkStart w:id="46" w:name="_Toc312695470"/>
      <w:bookmarkStart w:id="47" w:name="_Toc3215847"/>
      <w:r>
        <w:rPr>
          <w:rFonts w:hint="eastAsia" w:ascii="新宋体" w:hAnsi="新宋体" w:eastAsia="新宋体"/>
          <w:color w:val="000000"/>
          <w:sz w:val="24"/>
          <w:szCs w:val="24"/>
        </w:rPr>
        <w:t>C  投标文件的编写</w:t>
      </w:r>
      <w:bookmarkEnd w:id="43"/>
      <w:bookmarkEnd w:id="44"/>
      <w:bookmarkEnd w:id="45"/>
      <w:bookmarkEnd w:id="46"/>
      <w:bookmarkEnd w:id="47"/>
    </w:p>
    <w:p>
      <w:pPr>
        <w:spacing w:line="276" w:lineRule="auto"/>
        <w:rPr>
          <w:rFonts w:ascii="新宋体" w:hAnsi="新宋体" w:eastAsia="新宋体"/>
          <w:b/>
          <w:color w:val="000000"/>
          <w:sz w:val="24"/>
        </w:rPr>
      </w:pPr>
      <w:bookmarkStart w:id="48" w:name="_Toc313483557"/>
      <w:bookmarkStart w:id="49" w:name="_Toc312695286"/>
      <w:bookmarkStart w:id="50" w:name="_Toc312695471"/>
      <w:r>
        <w:rPr>
          <w:rFonts w:hint="eastAsia" w:ascii="新宋体" w:hAnsi="新宋体" w:eastAsia="新宋体"/>
          <w:b/>
          <w:color w:val="000000"/>
          <w:sz w:val="24"/>
        </w:rPr>
        <w:t>6、要求</w:t>
      </w:r>
      <w:bookmarkEnd w:id="48"/>
      <w:bookmarkEnd w:id="49"/>
      <w:bookmarkEnd w:id="50"/>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6</w:t>
      </w:r>
      <w:r>
        <w:rPr>
          <w:rFonts w:hint="eastAsia" w:ascii="新宋体" w:hAnsi="新宋体" w:eastAsia="新宋体"/>
          <w:color w:val="000000"/>
          <w:sz w:val="24"/>
        </w:rPr>
        <w:t>.1投标方应仔细阅读招标文件的所有内容，按招标文件的要求提供投标文件，并保证所提供的全部资料的真实性，以使其投标对招标文件作出实质性响应，否则，其投标可能被拒绝。</w:t>
      </w:r>
    </w:p>
    <w:p>
      <w:pPr>
        <w:spacing w:line="276" w:lineRule="auto"/>
        <w:rPr>
          <w:rFonts w:ascii="新宋体" w:hAnsi="新宋体" w:eastAsia="新宋体"/>
          <w:b/>
          <w:color w:val="000000"/>
          <w:sz w:val="24"/>
        </w:rPr>
      </w:pPr>
      <w:bookmarkStart w:id="51" w:name="_Toc312695287"/>
      <w:bookmarkStart w:id="52" w:name="_Toc312695472"/>
      <w:bookmarkStart w:id="53" w:name="_Toc313483558"/>
      <w:r>
        <w:rPr>
          <w:rFonts w:hint="eastAsia" w:ascii="新宋体" w:hAnsi="新宋体" w:eastAsia="新宋体"/>
          <w:b/>
          <w:color w:val="000000"/>
          <w:sz w:val="24"/>
        </w:rPr>
        <w:t>7、计量单位</w:t>
      </w:r>
      <w:bookmarkEnd w:id="51"/>
      <w:bookmarkEnd w:id="52"/>
      <w:bookmarkEnd w:id="53"/>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7</w:t>
      </w:r>
      <w:r>
        <w:rPr>
          <w:rFonts w:hint="eastAsia" w:ascii="新宋体" w:hAnsi="新宋体" w:eastAsia="新宋体"/>
          <w:color w:val="000000"/>
          <w:sz w:val="24"/>
        </w:rPr>
        <w:t>.1除在招标文件的技术规格中另有规定外，计量单位应使用中华人民共和国法定计量单位（国际单位制和国家选定的其他计量单位）。</w:t>
      </w:r>
    </w:p>
    <w:p>
      <w:pPr>
        <w:spacing w:line="276" w:lineRule="auto"/>
        <w:rPr>
          <w:rFonts w:ascii="新宋体" w:hAnsi="新宋体" w:eastAsia="新宋体"/>
          <w:b/>
          <w:color w:val="000000"/>
          <w:sz w:val="24"/>
        </w:rPr>
      </w:pPr>
      <w:bookmarkStart w:id="54" w:name="_Toc312695473"/>
      <w:bookmarkStart w:id="55" w:name="_Toc312695288"/>
      <w:bookmarkStart w:id="56" w:name="_Toc313483559"/>
      <w:r>
        <w:rPr>
          <w:rFonts w:hint="eastAsia" w:ascii="新宋体" w:hAnsi="新宋体" w:eastAsia="新宋体"/>
          <w:b/>
          <w:color w:val="000000"/>
          <w:sz w:val="24"/>
        </w:rPr>
        <w:t>8、投标文件组成</w:t>
      </w:r>
      <w:bookmarkEnd w:id="54"/>
      <w:bookmarkEnd w:id="55"/>
      <w:bookmarkEnd w:id="56"/>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8.1按招标文件的相关要求所列内容。</w:t>
      </w:r>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8</w:t>
      </w:r>
      <w:r>
        <w:rPr>
          <w:rFonts w:hint="eastAsia" w:ascii="新宋体" w:hAnsi="新宋体" w:eastAsia="新宋体"/>
          <w:color w:val="000000"/>
          <w:sz w:val="24"/>
        </w:rPr>
        <w:t>.2递交的投标书应正本一份、副本一份，投标书的有关部位应加盖投标单位公章和法定代表或授权代表印章或签字，装入档案袋密封，封条上须加盖印鉴。在投标截止时间前由专人将投标书送至或邮寄至招标单位，招标单位将进行当场签字明确收到投标书的时间。</w:t>
      </w:r>
    </w:p>
    <w:p>
      <w:pPr>
        <w:spacing w:line="276" w:lineRule="auto"/>
        <w:rPr>
          <w:rFonts w:ascii="新宋体" w:hAnsi="新宋体" w:eastAsia="新宋体"/>
          <w:b/>
          <w:color w:val="000000"/>
          <w:sz w:val="24"/>
        </w:rPr>
      </w:pPr>
      <w:bookmarkStart w:id="57" w:name="_Toc313483560"/>
      <w:bookmarkStart w:id="58" w:name="_Toc312695289"/>
      <w:bookmarkStart w:id="59" w:name="_Toc312695474"/>
      <w:r>
        <w:rPr>
          <w:rFonts w:hint="eastAsia" w:ascii="新宋体" w:hAnsi="新宋体" w:eastAsia="新宋体"/>
          <w:b/>
          <w:color w:val="000000"/>
          <w:sz w:val="24"/>
        </w:rPr>
        <w:t>9、投标报价</w:t>
      </w:r>
      <w:bookmarkEnd w:id="57"/>
      <w:bookmarkEnd w:id="58"/>
      <w:bookmarkEnd w:id="59"/>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9</w:t>
      </w:r>
      <w:r>
        <w:rPr>
          <w:rFonts w:hint="eastAsia" w:ascii="新宋体" w:hAnsi="新宋体" w:eastAsia="新宋体"/>
          <w:color w:val="000000"/>
          <w:sz w:val="24"/>
        </w:rPr>
        <w:t>.1投标报价要求详细列出费用项目、费用标准、费用金额。费用项目包括各种设备费（含进口与国产）、施工费、质保费</w:t>
      </w:r>
      <w:r>
        <w:rPr>
          <w:rFonts w:ascii="新宋体" w:hAnsi="新宋体" w:eastAsia="新宋体"/>
          <w:color w:val="000000"/>
          <w:sz w:val="24"/>
        </w:rPr>
        <w:t>、</w:t>
      </w:r>
      <w:r>
        <w:rPr>
          <w:rFonts w:hint="eastAsia" w:ascii="新宋体" w:hAnsi="新宋体" w:eastAsia="新宋体"/>
          <w:color w:val="000000"/>
          <w:sz w:val="24"/>
        </w:rPr>
        <w:t>系统安装费、系统调试费、税金、合理的利润和投标单位认为就本工程施工过程中所产生的全部应报的各项费用。</w:t>
      </w:r>
    </w:p>
    <w:p>
      <w:pPr>
        <w:spacing w:line="276" w:lineRule="auto"/>
        <w:ind w:left="345" w:leftChars="50" w:hanging="240" w:hangingChars="100"/>
        <w:rPr>
          <w:rFonts w:ascii="新宋体" w:hAnsi="新宋体" w:eastAsia="新宋体"/>
          <w:sz w:val="24"/>
        </w:rPr>
      </w:pPr>
      <w:r>
        <w:rPr>
          <w:rFonts w:hint="eastAsia" w:ascii="新宋体" w:hAnsi="新宋体" w:eastAsia="新宋体"/>
          <w:sz w:val="24"/>
        </w:rPr>
        <w:t>9.2本次</w:t>
      </w:r>
      <w:r>
        <w:rPr>
          <w:rFonts w:ascii="新宋体" w:hAnsi="新宋体" w:eastAsia="新宋体"/>
          <w:sz w:val="24"/>
        </w:rPr>
        <w:t>项目</w:t>
      </w:r>
      <w:r>
        <w:rPr>
          <w:rFonts w:hint="eastAsia" w:ascii="新宋体" w:hAnsi="新宋体" w:eastAsia="新宋体"/>
          <w:sz w:val="24"/>
        </w:rPr>
        <w:t>为</w:t>
      </w:r>
      <w:r>
        <w:rPr>
          <w:rFonts w:ascii="新宋体" w:hAnsi="新宋体" w:eastAsia="新宋体"/>
          <w:sz w:val="24"/>
        </w:rPr>
        <w:t>一个标段，</w:t>
      </w:r>
      <w:r>
        <w:rPr>
          <w:rFonts w:hint="eastAsia" w:ascii="新宋体" w:hAnsi="新宋体" w:eastAsia="新宋体"/>
          <w:sz w:val="24"/>
        </w:rPr>
        <w:t>含</w:t>
      </w:r>
      <w:r>
        <w:rPr>
          <w:rFonts w:ascii="新宋体" w:hAnsi="新宋体" w:eastAsia="新宋体"/>
          <w:sz w:val="24"/>
        </w:rPr>
        <w:t>设备、</w:t>
      </w:r>
      <w:r>
        <w:rPr>
          <w:rFonts w:hint="eastAsia" w:ascii="新宋体" w:hAnsi="新宋体" w:eastAsia="新宋体"/>
          <w:sz w:val="24"/>
        </w:rPr>
        <w:t>施工</w:t>
      </w:r>
      <w:r>
        <w:rPr>
          <w:rFonts w:ascii="新宋体" w:hAnsi="新宋体" w:eastAsia="新宋体"/>
          <w:sz w:val="24"/>
        </w:rPr>
        <w:t>、项目管理</w:t>
      </w:r>
      <w:r>
        <w:rPr>
          <w:rFonts w:hint="eastAsia" w:ascii="新宋体" w:hAnsi="新宋体" w:eastAsia="新宋体"/>
          <w:sz w:val="24"/>
        </w:rPr>
        <w:t>、</w:t>
      </w:r>
      <w:r>
        <w:rPr>
          <w:rFonts w:ascii="新宋体" w:hAnsi="新宋体" w:eastAsia="新宋体"/>
          <w:sz w:val="24"/>
        </w:rPr>
        <w:t>增值税金等费用，整体报价。</w:t>
      </w:r>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9</w:t>
      </w:r>
      <w:r>
        <w:rPr>
          <w:rFonts w:hint="eastAsia" w:ascii="新宋体" w:hAnsi="新宋体" w:eastAsia="新宋体"/>
          <w:color w:val="000000"/>
          <w:sz w:val="24"/>
        </w:rPr>
        <w:t>.3投标方应注明投标货物的单价和投标总价</w:t>
      </w:r>
      <w:r>
        <w:rPr>
          <w:rFonts w:ascii="新宋体" w:hAnsi="新宋体" w:eastAsia="新宋体"/>
          <w:color w:val="000000"/>
          <w:sz w:val="24"/>
        </w:rPr>
        <w:t>。</w:t>
      </w:r>
      <w:r>
        <w:rPr>
          <w:rFonts w:hint="eastAsia" w:ascii="新宋体" w:hAnsi="新宋体" w:eastAsia="新宋体"/>
          <w:color w:val="000000"/>
          <w:sz w:val="24"/>
        </w:rPr>
        <w:t>对每种货物只允许有一个报价，招标方不接受有任何选择的报价。</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9.</w:t>
      </w:r>
      <w:r>
        <w:rPr>
          <w:rFonts w:ascii="新宋体" w:hAnsi="新宋体" w:eastAsia="新宋体"/>
          <w:color w:val="000000"/>
          <w:sz w:val="24"/>
        </w:rPr>
        <w:t>4</w:t>
      </w:r>
      <w:r>
        <w:rPr>
          <w:rFonts w:hint="eastAsia" w:ascii="新宋体" w:hAnsi="新宋体" w:eastAsia="新宋体"/>
          <w:color w:val="000000"/>
          <w:sz w:val="24"/>
        </w:rPr>
        <w:t>填写投标价格时应注明下列费用：</w:t>
      </w:r>
    </w:p>
    <w:p>
      <w:pPr>
        <w:spacing w:line="276" w:lineRule="auto"/>
        <w:ind w:firstLine="360" w:firstLineChars="150"/>
        <w:rPr>
          <w:rFonts w:ascii="新宋体" w:hAnsi="新宋体" w:eastAsia="新宋体"/>
          <w:color w:val="000000"/>
          <w:sz w:val="24"/>
        </w:rPr>
      </w:pPr>
      <w:r>
        <w:rPr>
          <w:rFonts w:hint="eastAsia" w:ascii="新宋体" w:hAnsi="新宋体" w:eastAsia="新宋体"/>
          <w:color w:val="000000"/>
          <w:sz w:val="24"/>
        </w:rPr>
        <w:t>技术规格中特别要求的备品备件、易损件和专用工具的费用。</w:t>
      </w:r>
    </w:p>
    <w:p>
      <w:pPr>
        <w:spacing w:line="276" w:lineRule="auto"/>
        <w:ind w:firstLine="360" w:firstLineChars="150"/>
        <w:rPr>
          <w:rFonts w:ascii="新宋体" w:hAnsi="新宋体" w:eastAsia="新宋体"/>
          <w:color w:val="000000"/>
          <w:sz w:val="24"/>
        </w:rPr>
      </w:pPr>
      <w:r>
        <w:rPr>
          <w:rFonts w:hint="eastAsia" w:ascii="新宋体" w:hAnsi="新宋体" w:eastAsia="新宋体"/>
          <w:color w:val="000000"/>
          <w:sz w:val="24"/>
        </w:rPr>
        <w:t>技术规格中特别要求的设计、安装、调试、培训及其它附带服务的费用。</w:t>
      </w:r>
    </w:p>
    <w:p>
      <w:pPr>
        <w:spacing w:line="276" w:lineRule="auto"/>
        <w:ind w:left="345" w:leftChars="50" w:hanging="240" w:hangingChars="100"/>
        <w:rPr>
          <w:rFonts w:ascii="新宋体" w:hAnsi="新宋体" w:eastAsia="新宋体"/>
          <w:color w:val="000000"/>
          <w:spacing w:val="16"/>
          <w:sz w:val="24"/>
        </w:rPr>
      </w:pPr>
      <w:r>
        <w:rPr>
          <w:rFonts w:ascii="新宋体" w:hAnsi="新宋体" w:eastAsia="新宋体"/>
          <w:color w:val="000000"/>
          <w:sz w:val="24"/>
        </w:rPr>
        <w:t>9</w:t>
      </w:r>
      <w:r>
        <w:rPr>
          <w:rFonts w:hint="eastAsia" w:ascii="新宋体" w:hAnsi="新宋体" w:eastAsia="新宋体"/>
          <w:color w:val="000000"/>
          <w:sz w:val="24"/>
        </w:rPr>
        <w:t>.</w:t>
      </w:r>
      <w:r>
        <w:rPr>
          <w:rFonts w:ascii="新宋体" w:hAnsi="新宋体" w:eastAsia="新宋体"/>
          <w:color w:val="000000"/>
          <w:sz w:val="24"/>
        </w:rPr>
        <w:t>5</w:t>
      </w:r>
      <w:r>
        <w:rPr>
          <w:rFonts w:hint="eastAsia" w:ascii="新宋体" w:hAnsi="新宋体" w:eastAsia="新宋体"/>
          <w:color w:val="000000"/>
          <w:sz w:val="24"/>
        </w:rPr>
        <w:t>投标方必须</w:t>
      </w:r>
      <w:r>
        <w:rPr>
          <w:rFonts w:ascii="新宋体" w:hAnsi="新宋体" w:eastAsia="新宋体"/>
          <w:color w:val="000000"/>
          <w:sz w:val="24"/>
        </w:rPr>
        <w:t>严格按照招标文件</w:t>
      </w:r>
      <w:r>
        <w:rPr>
          <w:rFonts w:hint="eastAsia" w:ascii="新宋体" w:hAnsi="新宋体" w:eastAsia="新宋体"/>
          <w:color w:val="000000"/>
          <w:sz w:val="24"/>
        </w:rPr>
        <w:t>规定</w:t>
      </w:r>
      <w:r>
        <w:rPr>
          <w:rFonts w:ascii="新宋体" w:hAnsi="新宋体" w:eastAsia="新宋体"/>
          <w:color w:val="000000"/>
          <w:sz w:val="24"/>
        </w:rPr>
        <w:t>的品牌、</w:t>
      </w:r>
      <w:r>
        <w:rPr>
          <w:rFonts w:hint="eastAsia" w:ascii="新宋体" w:hAnsi="新宋体" w:eastAsia="新宋体"/>
          <w:color w:val="000000"/>
          <w:sz w:val="24"/>
        </w:rPr>
        <w:t>型号</w:t>
      </w:r>
      <w:r>
        <w:rPr>
          <w:rFonts w:ascii="新宋体" w:hAnsi="新宋体" w:eastAsia="新宋体"/>
          <w:color w:val="000000"/>
          <w:sz w:val="24"/>
        </w:rPr>
        <w:t>、技术参数、</w:t>
      </w:r>
      <w:r>
        <w:rPr>
          <w:rFonts w:hint="eastAsia" w:ascii="新宋体" w:hAnsi="新宋体" w:eastAsia="新宋体"/>
          <w:color w:val="000000"/>
          <w:sz w:val="24"/>
        </w:rPr>
        <w:t>数量</w:t>
      </w:r>
      <w:r>
        <w:rPr>
          <w:rFonts w:ascii="新宋体" w:hAnsi="新宋体" w:eastAsia="新宋体"/>
          <w:color w:val="000000"/>
          <w:sz w:val="24"/>
        </w:rPr>
        <w:t>、</w:t>
      </w:r>
      <w:r>
        <w:rPr>
          <w:rFonts w:hint="eastAsia" w:ascii="新宋体" w:hAnsi="新宋体" w:eastAsia="新宋体"/>
          <w:color w:val="000000"/>
          <w:sz w:val="24"/>
        </w:rPr>
        <w:t>进行</w:t>
      </w:r>
      <w:r>
        <w:rPr>
          <w:rFonts w:ascii="新宋体" w:hAnsi="新宋体" w:eastAsia="新宋体"/>
          <w:color w:val="000000"/>
          <w:sz w:val="24"/>
        </w:rPr>
        <w:t>报价，不得随意更改配置清单</w:t>
      </w:r>
      <w:r>
        <w:rPr>
          <w:rFonts w:hint="eastAsia" w:ascii="新宋体" w:hAnsi="新宋体" w:eastAsia="新宋体"/>
          <w:color w:val="000000"/>
          <w:sz w:val="24"/>
        </w:rPr>
        <w:t>，否则应视为无效</w:t>
      </w:r>
      <w:r>
        <w:rPr>
          <w:rFonts w:ascii="新宋体" w:hAnsi="新宋体" w:eastAsia="新宋体"/>
          <w:color w:val="000000"/>
          <w:sz w:val="24"/>
        </w:rPr>
        <w:t>标书</w:t>
      </w:r>
      <w:r>
        <w:rPr>
          <w:rFonts w:hint="eastAsia" w:ascii="新宋体" w:hAnsi="新宋体" w:eastAsia="新宋体"/>
          <w:color w:val="000000"/>
          <w:sz w:val="24"/>
        </w:rPr>
        <w:t>。</w:t>
      </w:r>
    </w:p>
    <w:p>
      <w:pPr>
        <w:spacing w:line="276" w:lineRule="auto"/>
        <w:rPr>
          <w:rFonts w:ascii="新宋体" w:hAnsi="新宋体" w:eastAsia="新宋体"/>
          <w:b/>
          <w:color w:val="000000"/>
          <w:sz w:val="24"/>
        </w:rPr>
      </w:pPr>
      <w:bookmarkStart w:id="60" w:name="_Toc312695290"/>
      <w:bookmarkStart w:id="61" w:name="_Toc313483561"/>
      <w:bookmarkStart w:id="62" w:name="_Toc312695475"/>
      <w:r>
        <w:rPr>
          <w:rFonts w:hint="eastAsia" w:ascii="新宋体" w:hAnsi="新宋体" w:eastAsia="新宋体"/>
          <w:b/>
          <w:color w:val="000000"/>
          <w:sz w:val="24"/>
        </w:rPr>
        <w:t>10、投标方资格的证明文件</w:t>
      </w:r>
      <w:bookmarkEnd w:id="60"/>
      <w:bookmarkEnd w:id="61"/>
      <w:bookmarkEnd w:id="62"/>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10.1投标方必须提交证明其有资格进行投标和有能力履行合同的文件，作为投标文件的一部分。</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10.2投标方具有履行合同所需的财务、技术和生产能力；</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10.3投标方应有能力履行招标文件中合同条款和技术要求规定的由卖方履行的保养、修理、供应备件和其它技术服务的义务。</w:t>
      </w:r>
    </w:p>
    <w:p>
      <w:pPr>
        <w:spacing w:line="276" w:lineRule="auto"/>
        <w:rPr>
          <w:rFonts w:ascii="新宋体" w:hAnsi="新宋体" w:eastAsia="新宋体"/>
          <w:b/>
          <w:color w:val="000000"/>
          <w:sz w:val="24"/>
        </w:rPr>
      </w:pPr>
      <w:bookmarkStart w:id="63" w:name="_Toc313483562"/>
      <w:bookmarkStart w:id="64" w:name="_Toc312695476"/>
      <w:bookmarkStart w:id="65" w:name="_Toc312695291"/>
      <w:r>
        <w:rPr>
          <w:rFonts w:hint="eastAsia" w:ascii="新宋体" w:hAnsi="新宋体" w:eastAsia="新宋体"/>
          <w:b/>
          <w:color w:val="000000"/>
          <w:sz w:val="24"/>
        </w:rPr>
        <w:t>11、投标货物符合招标文件规定的技术响应文件</w:t>
      </w:r>
      <w:bookmarkEnd w:id="63"/>
      <w:bookmarkEnd w:id="64"/>
      <w:bookmarkEnd w:id="65"/>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11.1投标方须提交证明其拟供货物和服务符合招标文件规定的技术响应文件，作为投标文件的一部分。</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11.2上述文件可以是文字资料、图纸和数据，并须提供：</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w:t>
      </w:r>
      <w:r>
        <w:rPr>
          <w:rFonts w:ascii="新宋体" w:hAnsi="新宋体" w:eastAsia="新宋体"/>
          <w:color w:val="000000"/>
          <w:sz w:val="24"/>
        </w:rPr>
        <w:t>1</w:t>
      </w:r>
      <w:r>
        <w:rPr>
          <w:rFonts w:hint="eastAsia" w:ascii="新宋体" w:hAnsi="新宋体" w:eastAsia="新宋体"/>
          <w:color w:val="000000"/>
          <w:sz w:val="24"/>
        </w:rPr>
        <w:t>.3货物主要技术性能的详细描述；</w:t>
      </w:r>
    </w:p>
    <w:p>
      <w:pPr>
        <w:spacing w:line="276" w:lineRule="auto"/>
        <w:ind w:firstLine="120" w:firstLineChars="50"/>
        <w:rPr>
          <w:rFonts w:ascii="新宋体" w:hAnsi="新宋体" w:eastAsia="新宋体"/>
          <w:color w:val="000000"/>
          <w:sz w:val="24"/>
        </w:rPr>
      </w:pPr>
    </w:p>
    <w:p>
      <w:pPr>
        <w:spacing w:line="276" w:lineRule="auto"/>
        <w:rPr>
          <w:rFonts w:ascii="新宋体" w:hAnsi="新宋体" w:eastAsia="新宋体"/>
          <w:b/>
          <w:color w:val="000000"/>
          <w:sz w:val="24"/>
        </w:rPr>
      </w:pPr>
      <w:bookmarkStart w:id="66" w:name="_Toc313483564"/>
      <w:bookmarkStart w:id="67" w:name="_Toc312695293"/>
      <w:bookmarkStart w:id="68" w:name="_Toc312695478"/>
      <w:r>
        <w:rPr>
          <w:rFonts w:hint="eastAsia" w:ascii="新宋体" w:hAnsi="新宋体" w:eastAsia="新宋体"/>
          <w:b/>
          <w:color w:val="000000"/>
          <w:sz w:val="24"/>
        </w:rPr>
        <w:t>12、投标有效期</w:t>
      </w:r>
      <w:bookmarkEnd w:id="66"/>
      <w:bookmarkEnd w:id="67"/>
      <w:bookmarkEnd w:id="68"/>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12.1投标文件从开标之日后30天内。</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12.2特殊情况下，招标方可于投标有效期满之前要求投标方同意延长有效期，要求与答复均应为书面形式。</w:t>
      </w:r>
    </w:p>
    <w:p>
      <w:pPr>
        <w:spacing w:line="276" w:lineRule="auto"/>
        <w:rPr>
          <w:rFonts w:ascii="新宋体" w:hAnsi="新宋体" w:eastAsia="新宋体"/>
          <w:b/>
          <w:color w:val="000000"/>
          <w:sz w:val="24"/>
        </w:rPr>
      </w:pPr>
      <w:bookmarkStart w:id="69" w:name="_Toc313483565"/>
      <w:bookmarkStart w:id="70" w:name="_Toc312695479"/>
      <w:bookmarkStart w:id="71" w:name="_Toc312695294"/>
      <w:r>
        <w:rPr>
          <w:rFonts w:hint="eastAsia" w:ascii="新宋体" w:hAnsi="新宋体" w:eastAsia="新宋体"/>
          <w:b/>
          <w:color w:val="000000"/>
          <w:sz w:val="24"/>
        </w:rPr>
        <w:t>13、投标文件的签署及规定</w:t>
      </w:r>
      <w:bookmarkEnd w:id="69"/>
      <w:bookmarkEnd w:id="70"/>
      <w:bookmarkEnd w:id="71"/>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13.1投标方应准备一份正本和一份副本，在每一份投标文件上要明确注明“正本”或“副本”字样，一旦正本和副本有差异，以正本为准。</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13.2投标文件正本和副本须打印并由经正式授权的投标方代表签字。</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13.3除投标方对错处作必要修改外，投标文件中不许有加行、涂抹或改写。若有修改须由签署投标文件的人进行签字。</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13.4电报、电话、传真形式的投标概不接受。</w:t>
      </w:r>
    </w:p>
    <w:p>
      <w:pPr>
        <w:pStyle w:val="24"/>
        <w:rPr>
          <w:rFonts w:ascii="新宋体" w:hAnsi="新宋体" w:eastAsia="新宋体"/>
          <w:color w:val="000000"/>
          <w:sz w:val="24"/>
          <w:szCs w:val="24"/>
        </w:rPr>
      </w:pPr>
      <w:bookmarkStart w:id="72" w:name="_Toc3215848"/>
      <w:bookmarkStart w:id="73" w:name="_Toc313483566"/>
      <w:bookmarkStart w:id="74" w:name="_Toc312695295"/>
      <w:bookmarkStart w:id="75" w:name="_Toc312695177"/>
      <w:bookmarkStart w:id="76" w:name="_Toc312695480"/>
      <w:r>
        <w:rPr>
          <w:rFonts w:hint="eastAsia" w:ascii="新宋体" w:hAnsi="新宋体" w:eastAsia="新宋体"/>
          <w:color w:val="000000"/>
          <w:sz w:val="24"/>
          <w:szCs w:val="24"/>
        </w:rPr>
        <w:t>D  投标文件的递交</w:t>
      </w:r>
      <w:bookmarkEnd w:id="72"/>
      <w:bookmarkEnd w:id="73"/>
      <w:bookmarkEnd w:id="74"/>
      <w:bookmarkEnd w:id="75"/>
      <w:bookmarkEnd w:id="76"/>
    </w:p>
    <w:p>
      <w:pPr>
        <w:spacing w:line="276" w:lineRule="auto"/>
        <w:rPr>
          <w:rFonts w:ascii="新宋体" w:hAnsi="新宋体" w:eastAsia="新宋体"/>
          <w:b/>
          <w:color w:val="000000"/>
          <w:sz w:val="24"/>
        </w:rPr>
      </w:pPr>
      <w:bookmarkStart w:id="77" w:name="_Toc312695481"/>
      <w:bookmarkStart w:id="78" w:name="_Toc313483567"/>
      <w:bookmarkStart w:id="79" w:name="_Toc312695296"/>
      <w:r>
        <w:rPr>
          <w:rFonts w:hint="eastAsia" w:ascii="新宋体" w:hAnsi="新宋体" w:eastAsia="新宋体"/>
          <w:b/>
          <w:color w:val="000000"/>
          <w:sz w:val="24"/>
        </w:rPr>
        <w:t>14、投标文件的密封和标记</w:t>
      </w:r>
      <w:bookmarkEnd w:id="77"/>
      <w:bookmarkEnd w:id="78"/>
      <w:bookmarkEnd w:id="79"/>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14.1投标方应将投标文件正本和副本装订成册分别用信封密封，并标明招标编号及正本或副本，并盖骑缝章。</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14.2如果未按上述规定进行密封和标记，招标方对投标文件的误投或提前拆封不负责任。</w:t>
      </w:r>
    </w:p>
    <w:p>
      <w:pPr>
        <w:spacing w:line="276" w:lineRule="auto"/>
        <w:rPr>
          <w:rFonts w:ascii="新宋体" w:hAnsi="新宋体" w:eastAsia="新宋体"/>
          <w:b/>
          <w:color w:val="000000"/>
          <w:sz w:val="24"/>
        </w:rPr>
      </w:pPr>
      <w:bookmarkStart w:id="80" w:name="_Toc312695482"/>
      <w:bookmarkStart w:id="81" w:name="_Toc313483568"/>
      <w:bookmarkStart w:id="82" w:name="_Toc312695297"/>
      <w:r>
        <w:rPr>
          <w:rFonts w:hint="eastAsia" w:ascii="新宋体" w:hAnsi="新宋体" w:eastAsia="新宋体"/>
          <w:b/>
          <w:color w:val="000000"/>
          <w:sz w:val="24"/>
        </w:rPr>
        <w:t>15、递交投标文件的截止时间</w:t>
      </w:r>
      <w:bookmarkEnd w:id="80"/>
      <w:bookmarkEnd w:id="81"/>
      <w:bookmarkEnd w:id="82"/>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15.1所有投标文件不论派人送交还是通过邮寄递交，都必须按招标方在投标邀请中规定的投标截止时间之前送至招标方。</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15.2因招标文件的修改推迟投标截止日期时，则按招标方修改通知规定的时间递交。</w:t>
      </w:r>
    </w:p>
    <w:p>
      <w:pPr>
        <w:spacing w:line="276" w:lineRule="auto"/>
        <w:rPr>
          <w:rFonts w:ascii="新宋体" w:hAnsi="新宋体" w:eastAsia="新宋体"/>
          <w:b/>
          <w:color w:val="000000"/>
          <w:sz w:val="24"/>
        </w:rPr>
      </w:pPr>
      <w:bookmarkStart w:id="83" w:name="_Toc313483569"/>
      <w:bookmarkStart w:id="84" w:name="_Toc312695483"/>
      <w:bookmarkStart w:id="85" w:name="_Toc312695298"/>
      <w:r>
        <w:rPr>
          <w:rFonts w:hint="eastAsia" w:ascii="新宋体" w:hAnsi="新宋体" w:eastAsia="新宋体"/>
          <w:b/>
          <w:color w:val="000000"/>
          <w:sz w:val="24"/>
        </w:rPr>
        <w:t>16、迟交的投标文件</w:t>
      </w:r>
      <w:bookmarkEnd w:id="83"/>
      <w:bookmarkEnd w:id="84"/>
      <w:bookmarkEnd w:id="85"/>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16.1招标方将拒绝在投标截止时间后递交的投标文件。</w:t>
      </w:r>
    </w:p>
    <w:p>
      <w:pPr>
        <w:pStyle w:val="24"/>
        <w:rPr>
          <w:rFonts w:ascii="新宋体" w:hAnsi="新宋体" w:eastAsia="新宋体"/>
          <w:color w:val="000000"/>
          <w:sz w:val="24"/>
          <w:szCs w:val="24"/>
        </w:rPr>
      </w:pPr>
      <w:bookmarkStart w:id="86" w:name="_Toc312695485"/>
      <w:bookmarkStart w:id="87" w:name="_Toc313483571"/>
      <w:bookmarkStart w:id="88" w:name="_Toc312695300"/>
      <w:bookmarkStart w:id="89" w:name="_Toc312695178"/>
      <w:r>
        <w:rPr>
          <w:rFonts w:ascii="新宋体" w:hAnsi="新宋体" w:eastAsia="新宋体"/>
          <w:color w:val="000000"/>
          <w:sz w:val="24"/>
          <w:szCs w:val="24"/>
        </w:rPr>
        <w:br w:type="page"/>
      </w:r>
      <w:bookmarkStart w:id="90" w:name="_Toc3215849"/>
      <w:r>
        <w:rPr>
          <w:rFonts w:hint="eastAsia" w:ascii="新宋体" w:hAnsi="新宋体" w:eastAsia="新宋体"/>
          <w:color w:val="000000"/>
          <w:sz w:val="24"/>
          <w:szCs w:val="24"/>
        </w:rPr>
        <w:t>E  开标和评标</w:t>
      </w:r>
      <w:bookmarkEnd w:id="86"/>
      <w:bookmarkEnd w:id="87"/>
      <w:bookmarkEnd w:id="88"/>
      <w:bookmarkEnd w:id="89"/>
      <w:bookmarkEnd w:id="90"/>
    </w:p>
    <w:p>
      <w:pPr>
        <w:spacing w:line="276" w:lineRule="auto"/>
        <w:rPr>
          <w:rFonts w:ascii="新宋体" w:hAnsi="新宋体" w:eastAsia="新宋体"/>
          <w:b/>
          <w:color w:val="000000"/>
          <w:sz w:val="24"/>
        </w:rPr>
      </w:pPr>
      <w:bookmarkStart w:id="91" w:name="_Toc313483572"/>
      <w:bookmarkStart w:id="92" w:name="_Toc312695486"/>
      <w:bookmarkStart w:id="93" w:name="_Toc312695301"/>
      <w:r>
        <w:rPr>
          <w:rFonts w:hint="eastAsia" w:ascii="新宋体" w:hAnsi="新宋体" w:eastAsia="新宋体"/>
          <w:b/>
          <w:color w:val="000000"/>
          <w:sz w:val="24"/>
        </w:rPr>
        <w:t>17、开标</w:t>
      </w:r>
      <w:bookmarkEnd w:id="91"/>
      <w:bookmarkEnd w:id="92"/>
      <w:bookmarkEnd w:id="93"/>
      <w:r>
        <w:rPr>
          <w:rFonts w:hint="eastAsia" w:ascii="新宋体" w:hAnsi="新宋体" w:eastAsia="新宋体"/>
          <w:b/>
          <w:color w:val="000000"/>
          <w:sz w:val="24"/>
        </w:rPr>
        <w:t>时间</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17.1投标方在招标邀请函规定的时间之前将投标文件送达或邮寄指定地点。</w:t>
      </w:r>
    </w:p>
    <w:p>
      <w:pPr>
        <w:spacing w:line="276" w:lineRule="auto"/>
        <w:rPr>
          <w:rFonts w:ascii="新宋体" w:hAnsi="新宋体" w:eastAsia="新宋体"/>
          <w:b/>
          <w:color w:val="000000"/>
          <w:sz w:val="24"/>
        </w:rPr>
      </w:pPr>
      <w:bookmarkStart w:id="94" w:name="_Toc313483573"/>
      <w:bookmarkStart w:id="95" w:name="_Toc312695487"/>
      <w:bookmarkStart w:id="96" w:name="_Toc312695302"/>
      <w:r>
        <w:rPr>
          <w:rFonts w:hint="eastAsia" w:ascii="新宋体" w:hAnsi="新宋体" w:eastAsia="新宋体"/>
          <w:b/>
          <w:color w:val="000000"/>
          <w:sz w:val="24"/>
        </w:rPr>
        <w:t>18、评标委员会</w:t>
      </w:r>
      <w:bookmarkEnd w:id="94"/>
      <w:bookmarkEnd w:id="95"/>
      <w:bookmarkEnd w:id="96"/>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18.1招标方将根据招标系统工程的特点按有关规定组建评标委员会。评标委员会对投标文件进行审查、询标、评议和比较。</w:t>
      </w:r>
    </w:p>
    <w:p>
      <w:pPr>
        <w:spacing w:line="276" w:lineRule="auto"/>
        <w:rPr>
          <w:rFonts w:ascii="新宋体" w:hAnsi="新宋体" w:eastAsia="新宋体"/>
          <w:b/>
          <w:color w:val="000000"/>
          <w:sz w:val="24"/>
        </w:rPr>
      </w:pPr>
      <w:bookmarkStart w:id="97" w:name="_Toc313483574"/>
      <w:bookmarkStart w:id="98" w:name="_Toc312695303"/>
      <w:bookmarkStart w:id="99" w:name="_Toc312695488"/>
      <w:r>
        <w:rPr>
          <w:rFonts w:hint="eastAsia" w:ascii="新宋体" w:hAnsi="新宋体" w:eastAsia="新宋体"/>
          <w:b/>
          <w:color w:val="000000"/>
          <w:sz w:val="24"/>
        </w:rPr>
        <w:t>19、对投标文件的审查和响应性的确定</w:t>
      </w:r>
      <w:bookmarkEnd w:id="97"/>
      <w:bookmarkEnd w:id="98"/>
      <w:bookmarkEnd w:id="99"/>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19.1开标后，招标方将组织审查投标文件是否完整，是否有计算错误，文件是否恰当地签署。若文字大写表示的数据与数字表示的有差别，则以文字大写表示的数据为准。若投标方拒绝接受上述修正，其投标将被拒绝。</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19.2在对投标文件进行详细评估之前，招标方将依据投标方提供的资格证明文件审查投标方的资质、财务、技术和能力。如果确定投标方无资格履行合同，其投标将被拒绝。</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19.3招标方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买方的权力和投标方的义务的规定，而纠正这些偏离将影响到其它提交实质性响应投标的投标方的公平竞争地位。</w:t>
      </w:r>
    </w:p>
    <w:p>
      <w:pPr>
        <w:spacing w:line="276" w:lineRule="auto"/>
        <w:ind w:firstLine="120" w:firstLineChars="50"/>
        <w:rPr>
          <w:rFonts w:ascii="新宋体" w:hAnsi="新宋体" w:eastAsia="新宋体"/>
          <w:color w:val="000000"/>
          <w:sz w:val="24"/>
        </w:rPr>
      </w:pPr>
      <w:r>
        <w:rPr>
          <w:rFonts w:ascii="新宋体" w:hAnsi="新宋体" w:eastAsia="新宋体"/>
          <w:color w:val="000000"/>
          <w:sz w:val="24"/>
        </w:rPr>
        <w:t>19</w:t>
      </w:r>
      <w:r>
        <w:rPr>
          <w:rFonts w:hint="eastAsia" w:ascii="新宋体" w:hAnsi="新宋体" w:eastAsia="新宋体"/>
          <w:color w:val="000000"/>
          <w:sz w:val="24"/>
        </w:rPr>
        <w:t>.4招标方判断投标文件的响应性仅基于投标文件本身而不靠外部证据。</w:t>
      </w:r>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19</w:t>
      </w:r>
      <w:r>
        <w:rPr>
          <w:rFonts w:hint="eastAsia" w:ascii="新宋体" w:hAnsi="新宋体" w:eastAsia="新宋体"/>
          <w:color w:val="000000"/>
          <w:sz w:val="24"/>
        </w:rPr>
        <w:t>.5招标方将拒绝被确定为非实质性响应的投标，投标方不能通过修正或撤销不符之处而使其投标成为实质性响应的投标。</w:t>
      </w:r>
    </w:p>
    <w:p>
      <w:pPr>
        <w:spacing w:line="276" w:lineRule="auto"/>
        <w:rPr>
          <w:rFonts w:ascii="新宋体" w:hAnsi="新宋体" w:eastAsia="新宋体"/>
          <w:b/>
          <w:color w:val="000000"/>
          <w:sz w:val="24"/>
        </w:rPr>
      </w:pPr>
      <w:bookmarkStart w:id="100" w:name="_Toc313483575"/>
      <w:bookmarkStart w:id="101" w:name="_Toc312695304"/>
      <w:bookmarkStart w:id="102" w:name="_Toc312695489"/>
      <w:r>
        <w:rPr>
          <w:rFonts w:hint="eastAsia" w:ascii="新宋体" w:hAnsi="新宋体" w:eastAsia="新宋体"/>
          <w:b/>
          <w:color w:val="000000"/>
          <w:sz w:val="24"/>
        </w:rPr>
        <w:t>20、投标文件的澄清</w:t>
      </w:r>
      <w:bookmarkEnd w:id="100"/>
      <w:bookmarkEnd w:id="101"/>
      <w:bookmarkEnd w:id="102"/>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20.1为了有助于对投标文件进行审查、评估和比较，招标方在认为必要的情况下将向投标方进行询标，请投标方澄清其投标内容。投标方有责任按照招标方通知的时间、地点指派专人进行答疑和澄清。</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20.2重要澄清的答复应是书面的，但不得对投标内容进行实质性修改。</w:t>
      </w:r>
    </w:p>
    <w:p>
      <w:pPr>
        <w:spacing w:line="276" w:lineRule="auto"/>
        <w:rPr>
          <w:rFonts w:ascii="新宋体" w:hAnsi="新宋体" w:eastAsia="新宋体"/>
          <w:b/>
          <w:color w:val="000000"/>
          <w:sz w:val="24"/>
        </w:rPr>
      </w:pPr>
      <w:bookmarkStart w:id="103" w:name="_Toc312695305"/>
      <w:bookmarkStart w:id="104" w:name="_Toc312695490"/>
      <w:bookmarkStart w:id="105" w:name="_Toc313483576"/>
      <w:r>
        <w:rPr>
          <w:rFonts w:hint="eastAsia" w:ascii="新宋体" w:hAnsi="新宋体" w:eastAsia="新宋体"/>
          <w:b/>
          <w:color w:val="000000"/>
          <w:sz w:val="24"/>
        </w:rPr>
        <w:t>21、对投标文件的评估和比较</w:t>
      </w:r>
      <w:bookmarkEnd w:id="103"/>
      <w:bookmarkEnd w:id="104"/>
      <w:bookmarkEnd w:id="105"/>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21.1 由评标委员会对各投标书的全部内容进行审阅，并确定各投标书是否合格有效。凡是对招标文件的实质性要约内容不作响应的投标，将被视为不合格的投标，而不予接受。经过审标，对其投标书中需要进行澄清的问题，将由评标委员会向投标单位进行询标，投标单位应接受询标、澄清；其记录须经投标单位授权代表审阅签字，并应视作投标书的补充，对投标单位具有约束力。</w:t>
      </w:r>
    </w:p>
    <w:p>
      <w:pPr>
        <w:pStyle w:val="62"/>
        <w:spacing w:line="240" w:lineRule="atLeast"/>
        <w:ind w:left="0" w:right="79" w:firstLine="120" w:firstLineChars="50"/>
        <w:rPr>
          <w:rFonts w:ascii="新宋体" w:hAnsi="新宋体" w:eastAsia="新宋体"/>
          <w:sz w:val="24"/>
        </w:rPr>
      </w:pPr>
      <w:r>
        <w:rPr>
          <w:rFonts w:hint="eastAsia" w:ascii="新宋体" w:hAnsi="新宋体" w:eastAsia="新宋体"/>
          <w:sz w:val="24"/>
        </w:rPr>
        <w:t>21.2在审标、询标及调查考核的基础上，评标小组按照平等、客观、公正的原则，对各投标人的报价、公司</w:t>
      </w:r>
      <w:r>
        <w:rPr>
          <w:rFonts w:ascii="新宋体" w:hAnsi="新宋体" w:eastAsia="新宋体"/>
          <w:sz w:val="24"/>
        </w:rPr>
        <w:t>资质、</w:t>
      </w:r>
      <w:r>
        <w:rPr>
          <w:rFonts w:hint="eastAsia" w:ascii="新宋体" w:hAnsi="新宋体" w:eastAsia="新宋体"/>
          <w:sz w:val="24"/>
        </w:rPr>
        <w:t>公司综合实力、供货周期、售后</w:t>
      </w:r>
      <w:r>
        <w:rPr>
          <w:rFonts w:ascii="新宋体" w:hAnsi="新宋体" w:eastAsia="新宋体"/>
          <w:sz w:val="24"/>
        </w:rPr>
        <w:t>服务、</w:t>
      </w:r>
      <w:r>
        <w:rPr>
          <w:rFonts w:hint="eastAsia" w:ascii="新宋体" w:hAnsi="新宋体" w:eastAsia="新宋体"/>
          <w:sz w:val="24"/>
        </w:rPr>
        <w:t>成功案例等方面进行综合评审。不确保最低价中标。</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21.3招标为内部议标方式，招标投标要求内容的解释权归</w:t>
      </w:r>
      <w:r>
        <w:rPr>
          <w:rFonts w:hint="eastAsia" w:ascii="新宋体" w:hAnsi="新宋体" w:eastAsia="新宋体"/>
          <w:bCs/>
          <w:iCs/>
          <w:color w:val="000000"/>
          <w:sz w:val="24"/>
        </w:rPr>
        <w:t>江苏如皋农村商业银行股份有限公司</w:t>
      </w:r>
      <w:r>
        <w:rPr>
          <w:rFonts w:hint="eastAsia" w:ascii="新宋体" w:hAnsi="新宋体" w:eastAsia="新宋体"/>
          <w:color w:val="000000"/>
          <w:sz w:val="24"/>
        </w:rPr>
        <w:t>所有。</w:t>
      </w:r>
    </w:p>
    <w:p>
      <w:pPr>
        <w:spacing w:line="276" w:lineRule="auto"/>
        <w:rPr>
          <w:rFonts w:ascii="新宋体" w:hAnsi="新宋体" w:eastAsia="新宋体"/>
          <w:b/>
          <w:color w:val="000000"/>
          <w:sz w:val="24"/>
        </w:rPr>
      </w:pPr>
      <w:bookmarkStart w:id="106" w:name="_Toc312695306"/>
      <w:bookmarkStart w:id="107" w:name="_Toc312695491"/>
      <w:bookmarkStart w:id="108" w:name="_Toc313483577"/>
      <w:r>
        <w:rPr>
          <w:rFonts w:hint="eastAsia" w:ascii="新宋体" w:hAnsi="新宋体" w:eastAsia="新宋体"/>
          <w:b/>
          <w:color w:val="000000"/>
          <w:sz w:val="24"/>
        </w:rPr>
        <w:t>22、保密</w:t>
      </w:r>
      <w:bookmarkEnd w:id="106"/>
      <w:bookmarkEnd w:id="107"/>
      <w:bookmarkEnd w:id="108"/>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22.1有关投标文件的审查、澄清、评估和比较以及有关授予合同的意向的一切情况都不得透露给任一投标方或与上述评标工作无关的人员。</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22.2投标方不得干扰招标方的评标活动，否则将废除其投标。</w:t>
      </w:r>
    </w:p>
    <w:p>
      <w:pPr>
        <w:spacing w:line="276" w:lineRule="auto"/>
        <w:ind w:firstLine="120" w:firstLineChars="50"/>
        <w:rPr>
          <w:rFonts w:ascii="新宋体" w:hAnsi="新宋体" w:eastAsia="新宋体"/>
          <w:color w:val="000000"/>
          <w:sz w:val="24"/>
        </w:rPr>
      </w:pPr>
    </w:p>
    <w:p>
      <w:pPr>
        <w:pStyle w:val="24"/>
        <w:rPr>
          <w:rFonts w:ascii="新宋体" w:hAnsi="新宋体" w:eastAsia="新宋体"/>
          <w:color w:val="000000"/>
          <w:sz w:val="24"/>
          <w:szCs w:val="24"/>
        </w:rPr>
      </w:pPr>
      <w:bookmarkStart w:id="109" w:name="_Toc313483578"/>
      <w:bookmarkStart w:id="110" w:name="_Toc3215850"/>
      <w:bookmarkStart w:id="111" w:name="_Toc312695179"/>
      <w:bookmarkStart w:id="112" w:name="_Toc312695307"/>
      <w:bookmarkStart w:id="113" w:name="_Toc312695492"/>
      <w:r>
        <w:rPr>
          <w:rFonts w:hint="eastAsia" w:ascii="新宋体" w:hAnsi="新宋体" w:eastAsia="新宋体"/>
          <w:color w:val="000000"/>
          <w:sz w:val="24"/>
          <w:szCs w:val="24"/>
        </w:rPr>
        <w:t>F  授予合同</w:t>
      </w:r>
      <w:bookmarkEnd w:id="109"/>
      <w:bookmarkEnd w:id="110"/>
      <w:bookmarkEnd w:id="111"/>
      <w:bookmarkEnd w:id="112"/>
      <w:bookmarkEnd w:id="113"/>
    </w:p>
    <w:p>
      <w:pPr>
        <w:spacing w:line="276" w:lineRule="auto"/>
        <w:rPr>
          <w:rFonts w:ascii="新宋体" w:hAnsi="新宋体" w:eastAsia="新宋体"/>
          <w:b/>
          <w:color w:val="000000"/>
          <w:sz w:val="24"/>
        </w:rPr>
      </w:pPr>
      <w:bookmarkStart w:id="114" w:name="_Toc313483579"/>
      <w:bookmarkStart w:id="115" w:name="_Toc312695493"/>
      <w:bookmarkStart w:id="116" w:name="_Toc312695308"/>
      <w:r>
        <w:rPr>
          <w:rFonts w:hint="eastAsia" w:ascii="新宋体" w:hAnsi="新宋体" w:eastAsia="新宋体"/>
          <w:b/>
          <w:color w:val="000000"/>
          <w:sz w:val="24"/>
        </w:rPr>
        <w:t>23、资格最终审查</w:t>
      </w:r>
      <w:bookmarkEnd w:id="114"/>
      <w:bookmarkEnd w:id="115"/>
      <w:bookmarkEnd w:id="116"/>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23.1招标方将审查最佳投标者的投标方的财务、技术、生产和供货能力及信誉，确定其是否能圆满地履行合同。</w:t>
      </w:r>
    </w:p>
    <w:p>
      <w:pPr>
        <w:spacing w:line="276" w:lineRule="auto"/>
        <w:rPr>
          <w:rFonts w:ascii="新宋体" w:hAnsi="新宋体" w:eastAsia="新宋体"/>
          <w:b/>
          <w:color w:val="000000"/>
          <w:sz w:val="24"/>
        </w:rPr>
      </w:pPr>
      <w:bookmarkStart w:id="117" w:name="_Toc312695494"/>
      <w:bookmarkStart w:id="118" w:name="_Toc313483580"/>
      <w:bookmarkStart w:id="119" w:name="_Toc312695309"/>
      <w:r>
        <w:rPr>
          <w:rFonts w:hint="eastAsia" w:ascii="新宋体" w:hAnsi="新宋体" w:eastAsia="新宋体"/>
          <w:b/>
          <w:color w:val="000000"/>
          <w:sz w:val="24"/>
        </w:rPr>
        <w:t>24、中标通知</w:t>
      </w:r>
      <w:bookmarkEnd w:id="117"/>
      <w:bookmarkEnd w:id="118"/>
      <w:bookmarkEnd w:id="119"/>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24.1评标结束3日内，招标方将以书面形式发布《中标通知书》，发出时间不超过投标有效期。《中标通知书》一经发出即发生法律效力。</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24.2招标方将通知未中标的投标单位。</w:t>
      </w:r>
      <w:r>
        <w:rPr>
          <w:rFonts w:hint="eastAsia" w:ascii="新宋体" w:hAnsi="新宋体" w:eastAsia="新宋体"/>
          <w:bCs/>
          <w:iCs/>
          <w:color w:val="000000"/>
          <w:sz w:val="24"/>
        </w:rPr>
        <w:t>江苏如皋农村商业银行</w:t>
      </w:r>
      <w:r>
        <w:rPr>
          <w:rFonts w:hint="eastAsia" w:ascii="新宋体" w:hAnsi="新宋体" w:eastAsia="新宋体"/>
          <w:color w:val="000000"/>
          <w:sz w:val="24"/>
        </w:rPr>
        <w:t>保留投标正副本文件，概不退还投标文。</w:t>
      </w:r>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24.3《中标通知书》将作为签订合同的依据。</w:t>
      </w:r>
    </w:p>
    <w:p>
      <w:pPr>
        <w:spacing w:line="276" w:lineRule="auto"/>
        <w:rPr>
          <w:rFonts w:ascii="新宋体" w:hAnsi="新宋体" w:eastAsia="新宋体"/>
          <w:b/>
          <w:color w:val="000000"/>
          <w:sz w:val="24"/>
        </w:rPr>
      </w:pPr>
      <w:bookmarkStart w:id="120" w:name="_Toc313483581"/>
      <w:bookmarkStart w:id="121" w:name="_Toc312695495"/>
      <w:bookmarkStart w:id="122" w:name="_Toc312695310"/>
      <w:r>
        <w:rPr>
          <w:rFonts w:hint="eastAsia" w:ascii="新宋体" w:hAnsi="新宋体" w:eastAsia="新宋体"/>
          <w:b/>
          <w:color w:val="000000"/>
          <w:sz w:val="24"/>
        </w:rPr>
        <w:t>25、授予合同时变更数量的权力</w:t>
      </w:r>
      <w:bookmarkEnd w:id="120"/>
      <w:bookmarkEnd w:id="121"/>
      <w:bookmarkEnd w:id="122"/>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w:t>
      </w:r>
      <w:r>
        <w:rPr>
          <w:rFonts w:ascii="新宋体" w:hAnsi="新宋体" w:eastAsia="新宋体"/>
          <w:color w:val="000000"/>
          <w:sz w:val="24"/>
        </w:rPr>
        <w:t>5</w:t>
      </w:r>
      <w:r>
        <w:rPr>
          <w:rFonts w:hint="eastAsia" w:ascii="新宋体" w:hAnsi="新宋体" w:eastAsia="新宋体"/>
          <w:color w:val="000000"/>
          <w:sz w:val="24"/>
        </w:rPr>
        <w:t>.1招标方在授予合同时有权对招标文件中规定的货物数量和服务予增加或减少。</w:t>
      </w:r>
    </w:p>
    <w:p>
      <w:pPr>
        <w:spacing w:line="276" w:lineRule="auto"/>
        <w:rPr>
          <w:rFonts w:ascii="新宋体" w:hAnsi="新宋体" w:eastAsia="新宋体"/>
          <w:b/>
          <w:color w:val="000000"/>
          <w:sz w:val="24"/>
        </w:rPr>
      </w:pPr>
      <w:bookmarkStart w:id="123" w:name="_Toc312695311"/>
      <w:bookmarkStart w:id="124" w:name="_Toc313483582"/>
      <w:bookmarkStart w:id="125" w:name="_Toc312695496"/>
      <w:r>
        <w:rPr>
          <w:rFonts w:hint="eastAsia" w:ascii="新宋体" w:hAnsi="新宋体" w:eastAsia="新宋体"/>
          <w:b/>
          <w:color w:val="000000"/>
          <w:sz w:val="24"/>
        </w:rPr>
        <w:t>26、签订合同</w:t>
      </w:r>
      <w:bookmarkEnd w:id="123"/>
      <w:bookmarkEnd w:id="124"/>
      <w:bookmarkEnd w:id="125"/>
    </w:p>
    <w:p>
      <w:pPr>
        <w:spacing w:line="276" w:lineRule="auto"/>
        <w:ind w:firstLine="120" w:firstLineChars="50"/>
        <w:rPr>
          <w:rFonts w:ascii="新宋体" w:hAnsi="新宋体" w:eastAsia="新宋体"/>
          <w:color w:val="000000"/>
          <w:sz w:val="24"/>
        </w:rPr>
      </w:pPr>
      <w:r>
        <w:rPr>
          <w:rFonts w:ascii="新宋体" w:hAnsi="新宋体" w:eastAsia="新宋体"/>
          <w:color w:val="000000"/>
          <w:sz w:val="24"/>
        </w:rPr>
        <w:t>26</w:t>
      </w:r>
      <w:r>
        <w:rPr>
          <w:rFonts w:hint="eastAsia" w:ascii="新宋体" w:hAnsi="新宋体" w:eastAsia="新宋体"/>
          <w:color w:val="000000"/>
          <w:sz w:val="24"/>
        </w:rPr>
        <w:t>.1中标方按《中标通知书》指定的时间、地点与业主签订合同。</w:t>
      </w:r>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26</w:t>
      </w:r>
      <w:r>
        <w:rPr>
          <w:rFonts w:hint="eastAsia" w:ascii="新宋体" w:hAnsi="新宋体" w:eastAsia="新宋体"/>
          <w:color w:val="000000"/>
          <w:sz w:val="24"/>
        </w:rPr>
        <w:t>.2招标文件、中标方的投标文件及其澄清文件、答疑询标纪要等，均为签订合同的依据。中标单位自接到中标通知书后七天内与招标单位签署合同。</w:t>
      </w:r>
    </w:p>
    <w:p>
      <w:pPr>
        <w:spacing w:line="276" w:lineRule="auto"/>
        <w:ind w:left="345" w:leftChars="50" w:hanging="240" w:hangingChars="100"/>
        <w:rPr>
          <w:rFonts w:ascii="新宋体" w:hAnsi="新宋体" w:eastAsia="新宋体"/>
          <w:color w:val="000000"/>
          <w:sz w:val="24"/>
        </w:rPr>
      </w:pPr>
      <w:r>
        <w:rPr>
          <w:rFonts w:ascii="新宋体" w:hAnsi="新宋体" w:eastAsia="新宋体"/>
          <w:color w:val="000000"/>
          <w:sz w:val="24"/>
        </w:rPr>
        <w:t>26</w:t>
      </w:r>
      <w:r>
        <w:rPr>
          <w:rFonts w:hint="eastAsia" w:ascii="新宋体" w:hAnsi="新宋体" w:eastAsia="新宋体"/>
          <w:color w:val="000000"/>
          <w:sz w:val="24"/>
        </w:rPr>
        <w:t>.3中标单位不遵守招标文件或投标书的要约、承诺，擅自修改报价或在接到中标通知书七天内，借故拖延、拒签合同者，招标单位取消该单位的中标权，另选其它投标单位中标。</w:t>
      </w:r>
    </w:p>
    <w:p>
      <w:pPr>
        <w:spacing w:line="276" w:lineRule="auto"/>
        <w:ind w:left="345" w:leftChars="50" w:hanging="240" w:hangingChars="100"/>
        <w:rPr>
          <w:rFonts w:ascii="新宋体" w:hAnsi="新宋体" w:eastAsia="新宋体"/>
          <w:color w:val="000000"/>
          <w:sz w:val="24"/>
        </w:rPr>
      </w:pPr>
      <w:r>
        <w:rPr>
          <w:rFonts w:hint="eastAsia" w:ascii="新宋体" w:hAnsi="新宋体" w:eastAsia="新宋体"/>
          <w:color w:val="000000"/>
          <w:sz w:val="24"/>
        </w:rPr>
        <w:t>26.4签约后即为招标结束。招标结束，未中标单位5天内，投标书正副本一律不退。招标单位对中标结果不负责解释。</w:t>
      </w:r>
    </w:p>
    <w:p>
      <w:pPr>
        <w:spacing w:line="276" w:lineRule="auto"/>
        <w:rPr>
          <w:rFonts w:ascii="新宋体" w:hAnsi="新宋体" w:eastAsia="新宋体"/>
          <w:b/>
          <w:color w:val="000000"/>
          <w:sz w:val="24"/>
        </w:rPr>
      </w:pPr>
      <w:bookmarkStart w:id="126" w:name="_Toc312695313"/>
      <w:bookmarkStart w:id="127" w:name="_Toc313483584"/>
      <w:bookmarkStart w:id="128" w:name="_Toc312695498"/>
      <w:r>
        <w:rPr>
          <w:rFonts w:hint="eastAsia" w:ascii="新宋体" w:hAnsi="新宋体" w:eastAsia="新宋体"/>
          <w:b/>
          <w:color w:val="000000"/>
          <w:sz w:val="24"/>
        </w:rPr>
        <w:t>27、合同实施：</w:t>
      </w:r>
      <w:bookmarkEnd w:id="126"/>
      <w:bookmarkEnd w:id="127"/>
      <w:bookmarkEnd w:id="128"/>
    </w:p>
    <w:p>
      <w:pPr>
        <w:spacing w:line="276" w:lineRule="auto"/>
        <w:ind w:firstLine="120" w:firstLineChars="50"/>
        <w:rPr>
          <w:rFonts w:ascii="新宋体" w:hAnsi="新宋体" w:eastAsia="新宋体"/>
          <w:color w:val="000000"/>
          <w:sz w:val="24"/>
        </w:rPr>
      </w:pPr>
      <w:r>
        <w:rPr>
          <w:rFonts w:hint="eastAsia" w:ascii="新宋体" w:hAnsi="新宋体" w:eastAsia="新宋体"/>
          <w:color w:val="000000"/>
          <w:sz w:val="24"/>
        </w:rPr>
        <w:t>27.1中标方须在合同签订后10个工作日内供货，货到后30个工作日内</w:t>
      </w:r>
      <w:r>
        <w:rPr>
          <w:rFonts w:ascii="新宋体" w:hAnsi="新宋体" w:eastAsia="新宋体"/>
          <w:color w:val="000000"/>
          <w:sz w:val="24"/>
        </w:rPr>
        <w:t>实施完毕；</w:t>
      </w:r>
    </w:p>
    <w:p>
      <w:pPr>
        <w:pStyle w:val="2"/>
        <w:numPr>
          <w:ilvl w:val="0"/>
          <w:numId w:val="0"/>
        </w:numPr>
        <w:spacing w:before="0" w:after="0" w:line="360" w:lineRule="exact"/>
        <w:ind w:left="842"/>
        <w:rPr>
          <w:rFonts w:ascii="新宋体" w:hAnsi="新宋体" w:eastAsia="新宋体"/>
          <w:color w:val="000000"/>
          <w:sz w:val="28"/>
          <w:szCs w:val="28"/>
        </w:rPr>
      </w:pPr>
      <w:bookmarkStart w:id="129" w:name="_Toc3215851"/>
      <w:bookmarkStart w:id="130" w:name="_Toc312695180"/>
      <w:bookmarkStart w:id="131" w:name="_Toc313483585"/>
      <w:bookmarkStart w:id="132" w:name="_Toc312695314"/>
      <w:bookmarkStart w:id="133" w:name="_Toc312695499"/>
      <w:r>
        <w:rPr>
          <w:rFonts w:hint="eastAsia" w:ascii="新宋体" w:hAnsi="新宋体" w:eastAsia="新宋体"/>
          <w:color w:val="000000"/>
          <w:sz w:val="28"/>
          <w:szCs w:val="28"/>
        </w:rPr>
        <w:t>第三</w:t>
      </w:r>
      <w:r>
        <w:rPr>
          <w:rFonts w:ascii="新宋体" w:hAnsi="新宋体" w:eastAsia="新宋体"/>
          <w:color w:val="000000"/>
          <w:sz w:val="28"/>
          <w:szCs w:val="28"/>
        </w:rPr>
        <w:t>部分</w:t>
      </w:r>
      <w:r>
        <w:rPr>
          <w:rFonts w:hint="eastAsia" w:ascii="新宋体" w:hAnsi="新宋体" w:eastAsia="新宋体"/>
          <w:color w:val="000000"/>
          <w:sz w:val="28"/>
          <w:szCs w:val="28"/>
        </w:rPr>
        <w:t xml:space="preserve">  合同模板</w:t>
      </w:r>
      <w:bookmarkEnd w:id="129"/>
    </w:p>
    <w:p>
      <w:pPr>
        <w:rPr>
          <w:color w:val="000000"/>
        </w:rPr>
      </w:pPr>
    </w:p>
    <w:p>
      <w:pPr>
        <w:ind w:firstLine="570"/>
        <w:rPr>
          <w:rFonts w:ascii="新宋体" w:hAnsi="新宋体" w:eastAsia="新宋体"/>
          <w:color w:val="000000"/>
          <w:sz w:val="24"/>
        </w:rPr>
      </w:pPr>
      <w:r>
        <w:rPr>
          <w:rFonts w:hint="eastAsia" w:ascii="新宋体" w:hAnsi="新宋体" w:eastAsia="新宋体"/>
          <w:color w:val="000000"/>
          <w:sz w:val="24"/>
        </w:rPr>
        <w:t>根据《中华人民共和国经济合同法》的有关规定，双方本着互惠互利、友好协商的原则制订本合同，具体条款如下：</w:t>
      </w:r>
    </w:p>
    <w:p>
      <w:pPr>
        <w:numPr>
          <w:ilvl w:val="0"/>
          <w:numId w:val="8"/>
        </w:numPr>
        <w:rPr>
          <w:rFonts w:ascii="新宋体" w:hAnsi="新宋体" w:eastAsia="新宋体"/>
          <w:color w:val="000000"/>
          <w:sz w:val="24"/>
        </w:rPr>
      </w:pPr>
      <w:r>
        <w:rPr>
          <w:rFonts w:hint="eastAsia" w:ascii="新宋体" w:hAnsi="新宋体" w:eastAsia="新宋体"/>
          <w:color w:val="000000"/>
          <w:sz w:val="24"/>
        </w:rPr>
        <w:t>本项目合同主要内容：</w:t>
      </w:r>
    </w:p>
    <w:p>
      <w:pPr>
        <w:ind w:firstLine="840" w:firstLineChars="350"/>
        <w:rPr>
          <w:rFonts w:ascii="新宋体" w:hAnsi="新宋体" w:eastAsia="新宋体"/>
          <w:color w:val="000000"/>
          <w:sz w:val="24"/>
        </w:rPr>
      </w:pPr>
      <w:r>
        <w:rPr>
          <w:rFonts w:hint="eastAsia" w:ascii="新宋体" w:hAnsi="新宋体" w:eastAsia="新宋体"/>
          <w:color w:val="000000"/>
          <w:sz w:val="24"/>
        </w:rPr>
        <w:t>江苏如皋农村商业</w:t>
      </w:r>
      <w:r>
        <w:rPr>
          <w:rFonts w:ascii="新宋体" w:hAnsi="新宋体" w:eastAsia="新宋体"/>
          <w:color w:val="000000"/>
          <w:sz w:val="24"/>
        </w:rPr>
        <w:t>银行</w:t>
      </w:r>
      <w:r>
        <w:rPr>
          <w:rFonts w:hint="eastAsia" w:ascii="新宋体" w:hAnsi="新宋体" w:eastAsia="新宋体"/>
          <w:color w:val="000000"/>
          <w:sz w:val="24"/>
        </w:rPr>
        <w:t>北塔运维</w:t>
      </w:r>
      <w:r>
        <w:rPr>
          <w:rFonts w:ascii="新宋体" w:hAnsi="新宋体" w:eastAsia="新宋体"/>
          <w:color w:val="000000"/>
          <w:sz w:val="24"/>
        </w:rPr>
        <w:t>管理平台采购</w:t>
      </w:r>
      <w:r>
        <w:rPr>
          <w:rFonts w:hint="eastAsia" w:ascii="新宋体" w:hAnsi="新宋体" w:eastAsia="新宋体"/>
          <w:color w:val="000000"/>
          <w:sz w:val="24"/>
        </w:rPr>
        <w:t>与集成</w:t>
      </w:r>
      <w:r>
        <w:rPr>
          <w:rFonts w:ascii="新宋体" w:hAnsi="新宋体" w:eastAsia="新宋体"/>
          <w:color w:val="000000"/>
          <w:sz w:val="24"/>
        </w:rPr>
        <w:t>项目</w:t>
      </w:r>
      <w:r>
        <w:rPr>
          <w:rFonts w:hint="eastAsia" w:ascii="新宋体" w:hAnsi="新宋体" w:eastAsia="新宋体"/>
          <w:color w:val="000000"/>
          <w:sz w:val="24"/>
        </w:rPr>
        <w:t>。</w:t>
      </w:r>
    </w:p>
    <w:p>
      <w:pPr>
        <w:numPr>
          <w:ilvl w:val="0"/>
          <w:numId w:val="8"/>
        </w:numPr>
        <w:rPr>
          <w:rFonts w:ascii="新宋体" w:hAnsi="新宋体" w:eastAsia="新宋体"/>
          <w:color w:val="000000"/>
          <w:sz w:val="24"/>
        </w:rPr>
      </w:pPr>
      <w:r>
        <w:rPr>
          <w:rFonts w:hint="eastAsia" w:ascii="新宋体" w:hAnsi="新宋体" w:eastAsia="新宋体"/>
          <w:color w:val="000000"/>
          <w:sz w:val="24"/>
        </w:rPr>
        <w:t>系统报价明细：</w:t>
      </w:r>
    </w:p>
    <w:p>
      <w:pPr>
        <w:rPr>
          <w:rFonts w:ascii="新宋体" w:hAnsi="新宋体" w:eastAsia="新宋体"/>
          <w:color w:val="000000"/>
          <w:sz w:val="24"/>
        </w:rPr>
      </w:pPr>
      <w:r>
        <w:rPr>
          <w:rFonts w:hint="eastAsia" w:ascii="新宋体" w:hAnsi="新宋体" w:eastAsia="新宋体"/>
          <w:color w:val="000000"/>
          <w:sz w:val="24"/>
        </w:rPr>
        <w:t>详见合同附件：江苏如皋农村商业</w:t>
      </w:r>
      <w:r>
        <w:rPr>
          <w:rFonts w:ascii="新宋体" w:hAnsi="新宋体" w:eastAsia="新宋体"/>
          <w:color w:val="000000"/>
          <w:sz w:val="24"/>
        </w:rPr>
        <w:t>银行</w:t>
      </w:r>
      <w:r>
        <w:rPr>
          <w:rFonts w:hint="eastAsia" w:ascii="新宋体" w:hAnsi="新宋体" w:eastAsia="新宋体"/>
          <w:color w:val="000000"/>
          <w:sz w:val="24"/>
        </w:rPr>
        <w:t>北塔运维</w:t>
      </w:r>
      <w:r>
        <w:rPr>
          <w:rFonts w:ascii="新宋体" w:hAnsi="新宋体" w:eastAsia="新宋体"/>
          <w:color w:val="000000"/>
          <w:sz w:val="24"/>
        </w:rPr>
        <w:t>管理平台采购</w:t>
      </w:r>
      <w:r>
        <w:rPr>
          <w:rFonts w:hint="eastAsia" w:ascii="新宋体" w:hAnsi="新宋体" w:eastAsia="新宋体"/>
          <w:color w:val="000000"/>
          <w:sz w:val="24"/>
        </w:rPr>
        <w:t>与集成</w:t>
      </w:r>
      <w:r>
        <w:rPr>
          <w:rFonts w:ascii="新宋体" w:hAnsi="新宋体" w:eastAsia="新宋体"/>
          <w:color w:val="000000"/>
          <w:sz w:val="24"/>
        </w:rPr>
        <w:t>项目</w:t>
      </w:r>
    </w:p>
    <w:p>
      <w:pPr>
        <w:ind w:firstLine="1680" w:firstLineChars="700"/>
        <w:rPr>
          <w:rFonts w:ascii="新宋体" w:hAnsi="新宋体" w:eastAsia="新宋体"/>
          <w:color w:val="000000"/>
          <w:sz w:val="24"/>
        </w:rPr>
      </w:pPr>
      <w:r>
        <w:rPr>
          <w:rFonts w:hint="eastAsia" w:ascii="新宋体" w:hAnsi="新宋体" w:eastAsia="新宋体"/>
          <w:color w:val="000000"/>
          <w:sz w:val="24"/>
        </w:rPr>
        <w:t>合同清单及报价</w:t>
      </w:r>
    </w:p>
    <w:p>
      <w:pPr>
        <w:rPr>
          <w:rFonts w:ascii="新宋体" w:hAnsi="新宋体" w:eastAsia="新宋体"/>
          <w:color w:val="000000"/>
          <w:sz w:val="24"/>
        </w:rPr>
      </w:pPr>
    </w:p>
    <w:p>
      <w:pPr>
        <w:ind w:firstLine="840" w:firstLineChars="350"/>
        <w:rPr>
          <w:rFonts w:ascii="新宋体" w:hAnsi="新宋体" w:eastAsia="新宋体"/>
          <w:color w:val="000000"/>
          <w:sz w:val="24"/>
        </w:rPr>
      </w:pPr>
      <w:r>
        <w:rPr>
          <w:rFonts w:hint="eastAsia" w:ascii="新宋体" w:hAnsi="新宋体" w:eastAsia="新宋体"/>
          <w:color w:val="000000"/>
          <w:sz w:val="24"/>
        </w:rPr>
        <w:t xml:space="preserve">合同总价格： </w:t>
      </w:r>
    </w:p>
    <w:p>
      <w:pPr>
        <w:rPr>
          <w:rFonts w:ascii="新宋体" w:hAnsi="新宋体" w:eastAsia="新宋体"/>
          <w:color w:val="000000"/>
          <w:sz w:val="24"/>
        </w:rPr>
      </w:pPr>
    </w:p>
    <w:p>
      <w:pPr>
        <w:rPr>
          <w:rFonts w:ascii="新宋体" w:hAnsi="新宋体" w:eastAsia="新宋体"/>
          <w:color w:val="000000"/>
          <w:sz w:val="24"/>
        </w:rPr>
      </w:pPr>
      <w:r>
        <w:rPr>
          <w:rFonts w:hint="eastAsia" w:ascii="新宋体" w:hAnsi="新宋体" w:eastAsia="新宋体"/>
          <w:color w:val="000000"/>
          <w:sz w:val="24"/>
        </w:rPr>
        <w:t>(注:以上报价含设备材料、运输及保险、现场安装调试服务、壹年质保、税金等费用)</w:t>
      </w:r>
    </w:p>
    <w:p>
      <w:pPr>
        <w:rPr>
          <w:rFonts w:ascii="新宋体" w:hAnsi="新宋体" w:eastAsia="新宋体"/>
          <w:color w:val="000000"/>
          <w:sz w:val="24"/>
        </w:rPr>
      </w:pPr>
    </w:p>
    <w:p>
      <w:pPr>
        <w:spacing w:line="360" w:lineRule="auto"/>
        <w:ind w:right="-159" w:firstLine="470" w:firstLineChars="196"/>
        <w:rPr>
          <w:rFonts w:ascii="新宋体" w:hAnsi="新宋体" w:eastAsia="新宋体"/>
          <w:color w:val="000000"/>
          <w:sz w:val="24"/>
        </w:rPr>
      </w:pPr>
      <w:r>
        <w:rPr>
          <w:rFonts w:hint="eastAsia" w:ascii="新宋体" w:hAnsi="新宋体" w:eastAsia="新宋体"/>
          <w:color w:val="000000"/>
          <w:sz w:val="24"/>
        </w:rPr>
        <w:t>收货单位：江苏如皋农村商业银行股份有限公司</w:t>
      </w:r>
    </w:p>
    <w:p>
      <w:pPr>
        <w:spacing w:line="360" w:lineRule="auto"/>
        <w:ind w:right="-159" w:firstLine="1555" w:firstLineChars="648"/>
        <w:rPr>
          <w:rFonts w:ascii="新宋体" w:hAnsi="新宋体" w:eastAsia="新宋体"/>
          <w:color w:val="000000"/>
          <w:sz w:val="24"/>
        </w:rPr>
      </w:pPr>
      <w:r>
        <w:rPr>
          <w:rFonts w:hint="eastAsia" w:ascii="新宋体" w:hAnsi="新宋体" w:eastAsia="新宋体"/>
          <w:color w:val="000000"/>
          <w:sz w:val="24"/>
        </w:rPr>
        <w:t xml:space="preserve">地    址： </w:t>
      </w:r>
    </w:p>
    <w:p>
      <w:pPr>
        <w:spacing w:line="360" w:lineRule="auto"/>
        <w:ind w:right="-159" w:firstLine="1555" w:firstLineChars="648"/>
        <w:rPr>
          <w:rFonts w:ascii="新宋体" w:hAnsi="新宋体" w:eastAsia="新宋体"/>
          <w:color w:val="000000"/>
          <w:sz w:val="24"/>
        </w:rPr>
      </w:pPr>
      <w:r>
        <w:rPr>
          <w:rFonts w:hint="eastAsia" w:ascii="新宋体" w:hAnsi="新宋体" w:eastAsia="新宋体"/>
          <w:color w:val="000000"/>
          <w:sz w:val="24"/>
        </w:rPr>
        <w:t>电    话：</w:t>
      </w:r>
    </w:p>
    <w:p>
      <w:pPr>
        <w:spacing w:line="360" w:lineRule="auto"/>
        <w:ind w:right="-159" w:firstLine="1555" w:firstLineChars="648"/>
        <w:rPr>
          <w:rFonts w:ascii="新宋体" w:hAnsi="新宋体" w:eastAsia="新宋体"/>
          <w:color w:val="000000"/>
          <w:sz w:val="24"/>
        </w:rPr>
      </w:pPr>
      <w:r>
        <w:rPr>
          <w:rFonts w:hint="eastAsia" w:ascii="新宋体" w:hAnsi="新宋体" w:eastAsia="新宋体"/>
          <w:color w:val="000000"/>
          <w:sz w:val="24"/>
        </w:rPr>
        <w:t>联 系 人：</w:t>
      </w:r>
    </w:p>
    <w:p>
      <w:pPr>
        <w:spacing w:line="360" w:lineRule="auto"/>
        <w:ind w:right="-159" w:firstLine="1555" w:firstLineChars="648"/>
        <w:rPr>
          <w:rFonts w:ascii="新宋体" w:hAnsi="新宋体" w:eastAsia="新宋体"/>
          <w:color w:val="000000"/>
          <w:sz w:val="24"/>
        </w:rPr>
      </w:pPr>
    </w:p>
    <w:p>
      <w:pPr>
        <w:numPr>
          <w:ilvl w:val="0"/>
          <w:numId w:val="8"/>
        </w:numPr>
        <w:rPr>
          <w:rFonts w:ascii="新宋体" w:hAnsi="新宋体" w:eastAsia="新宋体"/>
          <w:color w:val="000000"/>
          <w:sz w:val="24"/>
        </w:rPr>
      </w:pPr>
      <w:r>
        <w:rPr>
          <w:rFonts w:hint="eastAsia" w:ascii="新宋体" w:hAnsi="新宋体" w:eastAsia="新宋体"/>
          <w:color w:val="000000"/>
          <w:sz w:val="24"/>
        </w:rPr>
        <w:t xml:space="preserve"> 双方责任：</w:t>
      </w:r>
    </w:p>
    <w:p>
      <w:pPr>
        <w:ind w:left="1572"/>
        <w:rPr>
          <w:rFonts w:ascii="新宋体" w:hAnsi="新宋体" w:eastAsia="新宋体"/>
          <w:color w:val="000000"/>
          <w:sz w:val="24"/>
        </w:rPr>
      </w:pPr>
    </w:p>
    <w:p>
      <w:pPr>
        <w:numPr>
          <w:ilvl w:val="0"/>
          <w:numId w:val="9"/>
        </w:numPr>
        <w:rPr>
          <w:rFonts w:ascii="新宋体" w:hAnsi="新宋体" w:eastAsia="新宋体"/>
          <w:color w:val="000000"/>
          <w:sz w:val="24"/>
        </w:rPr>
      </w:pPr>
      <w:r>
        <w:rPr>
          <w:rFonts w:hint="eastAsia" w:ascii="新宋体" w:hAnsi="新宋体" w:eastAsia="新宋体"/>
          <w:color w:val="000000"/>
          <w:sz w:val="24"/>
        </w:rPr>
        <w:t>甲方责任：</w:t>
      </w:r>
    </w:p>
    <w:p>
      <w:pPr>
        <w:numPr>
          <w:ilvl w:val="1"/>
          <w:numId w:val="8"/>
        </w:numPr>
        <w:rPr>
          <w:rFonts w:ascii="新宋体" w:hAnsi="新宋体" w:eastAsia="新宋体"/>
          <w:color w:val="000000"/>
          <w:sz w:val="24"/>
        </w:rPr>
      </w:pPr>
      <w:r>
        <w:rPr>
          <w:rFonts w:hint="eastAsia" w:ascii="新宋体" w:hAnsi="新宋体" w:eastAsia="新宋体"/>
          <w:color w:val="000000"/>
          <w:sz w:val="24"/>
        </w:rPr>
        <w:t>指定设备运送地点。</w:t>
      </w:r>
    </w:p>
    <w:p>
      <w:pPr>
        <w:numPr>
          <w:ilvl w:val="1"/>
          <w:numId w:val="8"/>
        </w:numPr>
        <w:rPr>
          <w:rFonts w:ascii="新宋体" w:hAnsi="新宋体" w:eastAsia="新宋体"/>
          <w:color w:val="000000"/>
          <w:sz w:val="24"/>
        </w:rPr>
      </w:pPr>
      <w:r>
        <w:rPr>
          <w:rFonts w:hint="eastAsia" w:ascii="新宋体" w:hAnsi="新宋体" w:eastAsia="新宋体"/>
          <w:color w:val="000000"/>
          <w:sz w:val="24"/>
        </w:rPr>
        <w:t>设备安装调试阶段给予必要的配合。</w:t>
      </w:r>
    </w:p>
    <w:p>
      <w:pPr>
        <w:numPr>
          <w:ilvl w:val="1"/>
          <w:numId w:val="8"/>
        </w:numPr>
        <w:rPr>
          <w:rFonts w:ascii="新宋体" w:hAnsi="新宋体" w:eastAsia="新宋体"/>
          <w:color w:val="000000"/>
          <w:sz w:val="24"/>
        </w:rPr>
      </w:pPr>
      <w:r>
        <w:rPr>
          <w:rFonts w:hint="eastAsia" w:ascii="新宋体" w:hAnsi="新宋体" w:eastAsia="新宋体"/>
          <w:color w:val="000000"/>
          <w:sz w:val="24"/>
        </w:rPr>
        <w:t>按照合同约定支付合同款项。</w:t>
      </w:r>
    </w:p>
    <w:p>
      <w:pPr>
        <w:ind w:firstLine="1200" w:firstLineChars="500"/>
        <w:rPr>
          <w:rFonts w:ascii="新宋体" w:hAnsi="新宋体" w:eastAsia="新宋体"/>
          <w:color w:val="000000"/>
          <w:sz w:val="24"/>
        </w:rPr>
      </w:pPr>
      <w:r>
        <w:rPr>
          <w:rFonts w:hint="eastAsia" w:ascii="新宋体" w:hAnsi="新宋体" w:eastAsia="新宋体"/>
          <w:color w:val="000000"/>
          <w:sz w:val="24"/>
        </w:rPr>
        <w:t>B、乙方责任：</w:t>
      </w:r>
    </w:p>
    <w:p>
      <w:pPr>
        <w:ind w:left="1680" w:hanging="1680" w:hangingChars="700"/>
        <w:rPr>
          <w:rFonts w:ascii="新宋体" w:hAnsi="新宋体" w:eastAsia="新宋体"/>
          <w:color w:val="000000"/>
          <w:sz w:val="24"/>
        </w:rPr>
      </w:pPr>
      <w:r>
        <w:rPr>
          <w:rFonts w:hint="eastAsia" w:ascii="新宋体" w:hAnsi="新宋体" w:eastAsia="新宋体"/>
          <w:color w:val="000000"/>
          <w:sz w:val="24"/>
        </w:rPr>
        <w:t xml:space="preserve">           1、保证在合同签订生效后10个工作日内供货,货到后</w:t>
      </w:r>
      <w:r>
        <w:rPr>
          <w:rFonts w:ascii="新宋体" w:hAnsi="新宋体" w:eastAsia="新宋体"/>
          <w:color w:val="000000"/>
          <w:sz w:val="24"/>
        </w:rPr>
        <w:t>30</w:t>
      </w:r>
      <w:r>
        <w:rPr>
          <w:rFonts w:hint="eastAsia" w:ascii="新宋体" w:hAnsi="新宋体" w:eastAsia="新宋体"/>
          <w:color w:val="000000"/>
          <w:sz w:val="24"/>
        </w:rPr>
        <w:t>个</w:t>
      </w:r>
      <w:r>
        <w:rPr>
          <w:rFonts w:ascii="新宋体" w:hAnsi="新宋体" w:eastAsia="新宋体"/>
          <w:color w:val="000000"/>
          <w:sz w:val="24"/>
        </w:rPr>
        <w:t>工作日</w:t>
      </w:r>
      <w:r>
        <w:rPr>
          <w:rFonts w:hint="eastAsia" w:ascii="新宋体" w:hAnsi="新宋体" w:eastAsia="新宋体"/>
          <w:color w:val="000000"/>
          <w:sz w:val="24"/>
        </w:rPr>
        <w:t>安装</w:t>
      </w:r>
      <w:r>
        <w:rPr>
          <w:rFonts w:ascii="新宋体" w:hAnsi="新宋体" w:eastAsia="新宋体"/>
          <w:color w:val="000000"/>
          <w:sz w:val="24"/>
        </w:rPr>
        <w:t>调试完毕（</w:t>
      </w:r>
      <w:r>
        <w:rPr>
          <w:rFonts w:hint="eastAsia" w:ascii="新宋体" w:hAnsi="新宋体" w:eastAsia="新宋体"/>
          <w:color w:val="000000"/>
          <w:sz w:val="24"/>
        </w:rPr>
        <w:t>含</w:t>
      </w:r>
      <w:r>
        <w:rPr>
          <w:rFonts w:ascii="新宋体" w:hAnsi="新宋体" w:eastAsia="新宋体"/>
          <w:color w:val="000000"/>
          <w:sz w:val="24"/>
        </w:rPr>
        <w:t>网点设备）</w:t>
      </w:r>
      <w:r>
        <w:rPr>
          <w:rFonts w:hint="eastAsia" w:ascii="新宋体" w:hAnsi="新宋体" w:eastAsia="新宋体"/>
          <w:color w:val="000000"/>
          <w:sz w:val="24"/>
        </w:rPr>
        <w:t>并确保产品质量。</w:t>
      </w:r>
    </w:p>
    <w:p>
      <w:pPr>
        <w:ind w:left="1680" w:hanging="1680" w:hangingChars="700"/>
        <w:rPr>
          <w:rFonts w:ascii="新宋体" w:hAnsi="新宋体" w:eastAsia="新宋体"/>
          <w:color w:val="000000"/>
          <w:sz w:val="24"/>
        </w:rPr>
      </w:pPr>
      <w:r>
        <w:rPr>
          <w:rFonts w:hint="eastAsia" w:ascii="新宋体" w:hAnsi="新宋体" w:eastAsia="新宋体"/>
          <w:color w:val="000000"/>
          <w:sz w:val="24"/>
        </w:rPr>
        <w:t xml:space="preserve">           2、负责将设备运送至甲方指定地点、委派专业的</w:t>
      </w:r>
      <w:r>
        <w:rPr>
          <w:rFonts w:ascii="新宋体" w:hAnsi="新宋体" w:eastAsia="新宋体"/>
          <w:color w:val="000000"/>
          <w:sz w:val="24"/>
        </w:rPr>
        <w:t>技术</w:t>
      </w:r>
      <w:r>
        <w:rPr>
          <w:rFonts w:hint="eastAsia" w:ascii="新宋体" w:hAnsi="新宋体" w:eastAsia="新宋体"/>
          <w:color w:val="000000"/>
          <w:sz w:val="24"/>
        </w:rPr>
        <w:t>工程师负责现场安装调试，并确保设备正常运行。</w:t>
      </w:r>
    </w:p>
    <w:p>
      <w:pPr>
        <w:ind w:left="1680" w:hanging="1680" w:hangingChars="700"/>
        <w:rPr>
          <w:rFonts w:ascii="新宋体" w:hAnsi="新宋体" w:eastAsia="新宋体"/>
          <w:color w:val="000000"/>
          <w:sz w:val="24"/>
        </w:rPr>
      </w:pPr>
      <w:r>
        <w:rPr>
          <w:rFonts w:hint="eastAsia" w:ascii="新宋体" w:hAnsi="新宋体" w:eastAsia="新宋体"/>
          <w:color w:val="000000"/>
          <w:sz w:val="24"/>
        </w:rPr>
        <w:t xml:space="preserve">           3、质保以各设备的质保期为准，并终身提供技术支持。 </w:t>
      </w:r>
    </w:p>
    <w:p>
      <w:pPr>
        <w:ind w:left="1680" w:hanging="1680" w:hangingChars="700"/>
        <w:rPr>
          <w:rFonts w:ascii="新宋体" w:hAnsi="新宋体" w:eastAsia="新宋体"/>
          <w:color w:val="000000"/>
          <w:sz w:val="24"/>
        </w:rPr>
      </w:pPr>
    </w:p>
    <w:p>
      <w:pPr>
        <w:ind w:left="1680" w:hanging="1680" w:hangingChars="700"/>
        <w:rPr>
          <w:rFonts w:ascii="新宋体" w:hAnsi="新宋体" w:eastAsia="新宋体"/>
          <w:color w:val="000000"/>
          <w:sz w:val="24"/>
        </w:rPr>
      </w:pPr>
      <w:r>
        <w:rPr>
          <w:rFonts w:hint="eastAsia" w:ascii="新宋体" w:hAnsi="新宋体" w:eastAsia="新宋体"/>
          <w:color w:val="000000"/>
          <w:sz w:val="24"/>
        </w:rPr>
        <w:t>四、货物验收及货款支付约定：</w:t>
      </w:r>
    </w:p>
    <w:p>
      <w:pPr>
        <w:ind w:left="701" w:leftChars="334" w:firstLine="470" w:firstLineChars="196"/>
        <w:rPr>
          <w:rFonts w:ascii="新宋体" w:hAnsi="新宋体" w:eastAsia="新宋体"/>
          <w:color w:val="000000"/>
          <w:sz w:val="24"/>
        </w:rPr>
      </w:pPr>
      <w:r>
        <w:rPr>
          <w:rFonts w:hint="eastAsia" w:ascii="新宋体" w:hAnsi="新宋体" w:eastAsia="新宋体"/>
          <w:color w:val="000000"/>
          <w:sz w:val="24"/>
        </w:rPr>
        <w:t>乙方收款信息:</w:t>
      </w:r>
    </w:p>
    <w:p>
      <w:pPr>
        <w:ind w:left="701" w:leftChars="334" w:firstLine="470" w:firstLineChars="196"/>
        <w:rPr>
          <w:rFonts w:ascii="新宋体" w:hAnsi="新宋体" w:eastAsia="新宋体"/>
          <w:color w:val="000000"/>
          <w:sz w:val="24"/>
        </w:rPr>
      </w:pPr>
      <w:r>
        <w:rPr>
          <w:rFonts w:hint="eastAsia" w:ascii="新宋体" w:hAnsi="新宋体" w:eastAsia="新宋体"/>
          <w:color w:val="000000"/>
          <w:sz w:val="24"/>
        </w:rPr>
        <w:t xml:space="preserve">公司名称: </w:t>
      </w:r>
    </w:p>
    <w:p>
      <w:pPr>
        <w:ind w:firstLine="1200" w:firstLineChars="500"/>
        <w:rPr>
          <w:rFonts w:ascii="新宋体" w:hAnsi="新宋体" w:eastAsia="新宋体"/>
          <w:color w:val="000000"/>
          <w:sz w:val="24"/>
        </w:rPr>
      </w:pPr>
      <w:r>
        <w:rPr>
          <w:rFonts w:hint="eastAsia" w:ascii="新宋体" w:hAnsi="新宋体" w:eastAsia="新宋体"/>
          <w:color w:val="000000"/>
          <w:sz w:val="24"/>
        </w:rPr>
        <w:t xml:space="preserve">开 户 行： </w:t>
      </w:r>
    </w:p>
    <w:p>
      <w:pPr>
        <w:ind w:firstLine="1200" w:firstLineChars="500"/>
        <w:rPr>
          <w:rFonts w:ascii="新宋体" w:hAnsi="新宋体" w:eastAsia="新宋体"/>
          <w:color w:val="000000"/>
          <w:sz w:val="24"/>
        </w:rPr>
      </w:pPr>
      <w:r>
        <w:rPr>
          <w:rFonts w:hint="eastAsia" w:ascii="新宋体" w:hAnsi="新宋体" w:eastAsia="新宋体"/>
          <w:color w:val="000000"/>
          <w:sz w:val="24"/>
        </w:rPr>
        <w:t>帐   号：</w:t>
      </w:r>
    </w:p>
    <w:p>
      <w:pPr>
        <w:rPr>
          <w:rFonts w:ascii="新宋体" w:hAnsi="新宋体" w:eastAsia="新宋体"/>
          <w:color w:val="000000"/>
          <w:sz w:val="24"/>
        </w:rPr>
      </w:pPr>
      <w:r>
        <w:rPr>
          <w:rFonts w:hint="eastAsia" w:ascii="新宋体" w:hAnsi="新宋体" w:eastAsia="新宋体"/>
          <w:color w:val="000000"/>
          <w:sz w:val="24"/>
        </w:rPr>
        <w:t xml:space="preserve">     （2） 验收及付款方式：</w:t>
      </w:r>
    </w:p>
    <w:p>
      <w:pPr>
        <w:spacing w:line="360" w:lineRule="auto"/>
        <w:ind w:left="850" w:firstLine="362"/>
        <w:rPr>
          <w:rFonts w:ascii="新宋体" w:hAnsi="新宋体" w:eastAsia="新宋体"/>
          <w:color w:val="000000"/>
          <w:sz w:val="24"/>
        </w:rPr>
      </w:pPr>
      <w:r>
        <w:rPr>
          <w:rFonts w:hint="eastAsia" w:ascii="新宋体" w:hAnsi="新宋体" w:eastAsia="新宋体"/>
          <w:color w:val="000000"/>
          <w:sz w:val="24"/>
        </w:rPr>
        <w:t xml:space="preserve"> 验收：设备送到甲方指定地点后，即当场进行验收，验收内容主要包括：所提供的设备产品型号是否和合同相对应的产品型号一致；外包装有无损伤、随包装箱所提供的技术资料是否齐全，安装调试完毕是否正常稳定运行</w:t>
      </w:r>
      <w:r>
        <w:rPr>
          <w:rFonts w:hint="eastAsia" w:ascii="新宋体" w:hAnsi="新宋体" w:eastAsia="新宋体"/>
          <w:color w:val="000000"/>
          <w:sz w:val="24"/>
        </w:rPr>
        <w:tab/>
      </w:r>
      <w:r>
        <w:rPr>
          <w:rFonts w:hint="eastAsia" w:ascii="新宋体" w:hAnsi="新宋体" w:eastAsia="新宋体"/>
          <w:color w:val="000000"/>
          <w:sz w:val="24"/>
        </w:rPr>
        <w:t>,甲乙双方共同验收合格后需签字确认。</w:t>
      </w:r>
    </w:p>
    <w:p>
      <w:pPr>
        <w:spacing w:line="360" w:lineRule="auto"/>
        <w:ind w:left="840" w:leftChars="400" w:firstLine="235" w:firstLineChars="98"/>
        <w:rPr>
          <w:rFonts w:ascii="新宋体" w:hAnsi="新宋体" w:eastAsia="新宋体"/>
          <w:color w:val="000000"/>
          <w:sz w:val="24"/>
        </w:rPr>
      </w:pPr>
      <w:r>
        <w:rPr>
          <w:rFonts w:hint="eastAsia" w:ascii="新宋体" w:hAnsi="新宋体" w:eastAsia="新宋体"/>
          <w:color w:val="000000"/>
          <w:sz w:val="24"/>
        </w:rPr>
        <w:t>付款约定:合同签订生效，甲方</w:t>
      </w:r>
      <w:r>
        <w:rPr>
          <w:rFonts w:ascii="新宋体" w:hAnsi="新宋体" w:eastAsia="新宋体"/>
          <w:color w:val="000000"/>
          <w:sz w:val="24"/>
        </w:rPr>
        <w:t>支付合同总额的</w:t>
      </w:r>
      <w:r>
        <w:rPr>
          <w:rFonts w:hint="eastAsia" w:ascii="新宋体" w:hAnsi="新宋体" w:eastAsia="新宋体"/>
          <w:color w:val="000000"/>
          <w:sz w:val="24"/>
        </w:rPr>
        <w:t>30</w:t>
      </w:r>
      <w:r>
        <w:rPr>
          <w:rFonts w:ascii="新宋体" w:hAnsi="新宋体" w:eastAsia="新宋体"/>
          <w:color w:val="000000"/>
          <w:sz w:val="24"/>
        </w:rPr>
        <w:t>%，</w:t>
      </w:r>
      <w:r>
        <w:rPr>
          <w:rFonts w:hint="eastAsia" w:ascii="新宋体" w:hAnsi="新宋体" w:eastAsia="新宋体"/>
          <w:color w:val="000000"/>
          <w:sz w:val="24"/>
        </w:rPr>
        <w:t>即人民币：RMB：    元整；作为</w:t>
      </w:r>
      <w:r>
        <w:rPr>
          <w:rFonts w:ascii="新宋体" w:hAnsi="新宋体" w:eastAsia="新宋体"/>
          <w:color w:val="000000"/>
          <w:sz w:val="24"/>
        </w:rPr>
        <w:t>设备采购款</w:t>
      </w:r>
      <w:r>
        <w:rPr>
          <w:rFonts w:hint="eastAsia" w:ascii="新宋体" w:hAnsi="新宋体" w:eastAsia="新宋体"/>
          <w:color w:val="000000"/>
          <w:sz w:val="24"/>
        </w:rPr>
        <w:t>；项目</w:t>
      </w:r>
      <w:r>
        <w:rPr>
          <w:rFonts w:ascii="新宋体" w:hAnsi="新宋体" w:eastAsia="新宋体"/>
          <w:color w:val="000000"/>
          <w:sz w:val="24"/>
        </w:rPr>
        <w:t>实施完毕</w:t>
      </w:r>
      <w:r>
        <w:rPr>
          <w:rFonts w:hint="eastAsia" w:ascii="新宋体" w:hAnsi="新宋体" w:eastAsia="新宋体"/>
          <w:color w:val="000000"/>
          <w:sz w:val="24"/>
        </w:rPr>
        <w:t>经验收合格后30个</w:t>
      </w:r>
      <w:r>
        <w:rPr>
          <w:rFonts w:ascii="新宋体" w:hAnsi="新宋体" w:eastAsia="新宋体"/>
          <w:color w:val="000000"/>
          <w:sz w:val="24"/>
        </w:rPr>
        <w:t>工作日</w:t>
      </w:r>
      <w:r>
        <w:rPr>
          <w:rFonts w:hint="eastAsia" w:ascii="新宋体" w:hAnsi="新宋体" w:eastAsia="新宋体"/>
          <w:color w:val="000000"/>
          <w:sz w:val="24"/>
        </w:rPr>
        <w:t>内支付合同总金额的65%，即人民币：RMB：    元整；剩余的5%，即人民币：RMB：元整  作为项目质保金合同期满壹年后一个月内一次性支付完毕。付款前乙方须出具等额增值税</w:t>
      </w:r>
      <w:r>
        <w:rPr>
          <w:rFonts w:ascii="新宋体" w:hAnsi="新宋体" w:eastAsia="新宋体"/>
          <w:color w:val="000000"/>
          <w:sz w:val="24"/>
        </w:rPr>
        <w:t>专</w:t>
      </w:r>
      <w:r>
        <w:rPr>
          <w:rFonts w:hint="eastAsia" w:ascii="新宋体" w:hAnsi="新宋体" w:eastAsia="新宋体"/>
          <w:color w:val="000000"/>
          <w:sz w:val="24"/>
        </w:rPr>
        <w:t>用发票。</w:t>
      </w:r>
    </w:p>
    <w:p>
      <w:pPr>
        <w:spacing w:line="360" w:lineRule="auto"/>
        <w:ind w:left="840" w:leftChars="400" w:firstLine="235" w:firstLineChars="98"/>
        <w:rPr>
          <w:rFonts w:ascii="新宋体" w:hAnsi="新宋体" w:eastAsia="新宋体"/>
          <w:color w:val="000000"/>
          <w:sz w:val="24"/>
        </w:rPr>
      </w:pPr>
    </w:p>
    <w:p>
      <w:pPr>
        <w:tabs>
          <w:tab w:val="left" w:pos="6058"/>
        </w:tabs>
        <w:ind w:firstLine="470" w:firstLineChars="196"/>
        <w:rPr>
          <w:rFonts w:ascii="新宋体" w:hAnsi="新宋体" w:eastAsia="新宋体"/>
          <w:color w:val="000000"/>
          <w:sz w:val="24"/>
        </w:rPr>
      </w:pPr>
      <w:r>
        <w:rPr>
          <w:rFonts w:hint="eastAsia" w:ascii="新宋体" w:hAnsi="新宋体" w:eastAsia="新宋体"/>
          <w:color w:val="000000"/>
          <w:sz w:val="24"/>
        </w:rPr>
        <w:t>五、服务承诺</w:t>
      </w:r>
      <w:r>
        <w:rPr>
          <w:rFonts w:hint="eastAsia" w:ascii="新宋体" w:hAnsi="新宋体" w:eastAsia="新宋体"/>
          <w:color w:val="000000"/>
          <w:sz w:val="24"/>
        </w:rPr>
        <w:tab/>
      </w:r>
    </w:p>
    <w:p>
      <w:pPr>
        <w:spacing w:line="360" w:lineRule="auto"/>
        <w:ind w:left="1280" w:leftChars="267" w:hanging="720" w:hangingChars="300"/>
        <w:rPr>
          <w:rFonts w:ascii="新宋体" w:hAnsi="新宋体" w:eastAsia="新宋体"/>
          <w:color w:val="000000"/>
          <w:sz w:val="24"/>
        </w:rPr>
      </w:pPr>
      <w:r>
        <w:rPr>
          <w:rFonts w:hint="eastAsia" w:ascii="新宋体" w:hAnsi="新宋体" w:eastAsia="新宋体"/>
          <w:color w:val="000000"/>
          <w:sz w:val="24"/>
        </w:rPr>
        <w:t>（1） 乙方所提供的设备货到现场若发现质量问题，应无偿无条件更换为新的设备，并确保质量。</w:t>
      </w:r>
    </w:p>
    <w:p>
      <w:pPr>
        <w:spacing w:line="360" w:lineRule="auto"/>
        <w:ind w:left="1160" w:leftChars="267" w:hanging="600" w:hangingChars="250"/>
        <w:rPr>
          <w:rFonts w:ascii="新宋体" w:hAnsi="新宋体" w:eastAsia="新宋体"/>
          <w:color w:val="000000"/>
          <w:sz w:val="24"/>
        </w:rPr>
      </w:pPr>
      <w:r>
        <w:rPr>
          <w:rFonts w:hint="eastAsia" w:ascii="新宋体" w:hAnsi="新宋体" w:eastAsia="新宋体"/>
          <w:color w:val="000000"/>
          <w:sz w:val="24"/>
        </w:rPr>
        <w:t>（2） 安排专业的</w:t>
      </w:r>
      <w:r>
        <w:rPr>
          <w:rFonts w:ascii="新宋体" w:hAnsi="新宋体" w:eastAsia="新宋体"/>
          <w:color w:val="000000"/>
          <w:sz w:val="24"/>
        </w:rPr>
        <w:t>技术</w:t>
      </w:r>
      <w:r>
        <w:rPr>
          <w:rFonts w:hint="eastAsia" w:ascii="新宋体" w:hAnsi="新宋体" w:eastAsia="新宋体"/>
          <w:color w:val="000000"/>
          <w:sz w:val="24"/>
        </w:rPr>
        <w:t>工程师到现场安装调试，确保所提供设备稳定运行。</w:t>
      </w:r>
    </w:p>
    <w:p>
      <w:pPr>
        <w:adjustRightInd w:val="0"/>
        <w:spacing w:line="360" w:lineRule="auto"/>
        <w:ind w:left="1280" w:leftChars="267" w:hanging="720" w:hangingChars="300"/>
        <w:rPr>
          <w:rFonts w:ascii="新宋体" w:hAnsi="新宋体" w:eastAsia="新宋体"/>
          <w:color w:val="000000"/>
          <w:sz w:val="24"/>
        </w:rPr>
      </w:pPr>
      <w:r>
        <w:rPr>
          <w:rFonts w:hint="eastAsia" w:ascii="新宋体" w:hAnsi="新宋体" w:eastAsia="新宋体"/>
          <w:color w:val="000000"/>
          <w:sz w:val="24"/>
        </w:rPr>
        <w:t>（3） 合同清单内设备乙方提供壹年质保。若设备发生故障，乙方承诺在30分钟内电话响应，4小时内到现场作相应的技术支持。出现硬件故障无法及时修复的，提供相应的备品备件，确保设备正常稳定运行。保修期内服务为上门服务。并提供24×7小时电话响应或服务热线：</w:t>
      </w:r>
    </w:p>
    <w:p>
      <w:pPr>
        <w:spacing w:line="360" w:lineRule="auto"/>
        <w:ind w:left="1245" w:leftChars="250" w:hanging="720" w:hangingChars="300"/>
        <w:rPr>
          <w:rFonts w:ascii="新宋体" w:hAnsi="新宋体" w:eastAsia="新宋体"/>
          <w:color w:val="000000"/>
          <w:sz w:val="24"/>
        </w:rPr>
      </w:pPr>
      <w:r>
        <w:rPr>
          <w:rFonts w:hint="eastAsia" w:ascii="新宋体" w:hAnsi="新宋体" w:eastAsia="新宋体"/>
          <w:color w:val="000000"/>
          <w:sz w:val="24"/>
        </w:rPr>
        <w:t>（4） 保修期后，乙方仍提供终身技术支持，若甲方愿意签订售后服务合同，所涉及配件乙方均按成本价进行维护。</w:t>
      </w:r>
    </w:p>
    <w:p>
      <w:pPr>
        <w:spacing w:line="360" w:lineRule="auto"/>
        <w:ind w:left="1140" w:leftChars="200" w:hanging="720" w:hangingChars="300"/>
        <w:rPr>
          <w:rFonts w:ascii="新宋体" w:hAnsi="新宋体" w:eastAsia="新宋体"/>
          <w:color w:val="000000"/>
          <w:sz w:val="24"/>
        </w:rPr>
      </w:pPr>
    </w:p>
    <w:p>
      <w:pPr>
        <w:spacing w:line="360" w:lineRule="auto"/>
        <w:ind w:firstLine="480" w:firstLineChars="200"/>
        <w:rPr>
          <w:rFonts w:ascii="新宋体" w:hAnsi="新宋体" w:eastAsia="新宋体"/>
          <w:color w:val="000000"/>
          <w:sz w:val="24"/>
        </w:rPr>
      </w:pPr>
      <w:r>
        <w:rPr>
          <w:rFonts w:hint="eastAsia" w:ascii="新宋体" w:hAnsi="新宋体" w:eastAsia="新宋体"/>
          <w:color w:val="000000"/>
          <w:sz w:val="24"/>
        </w:rPr>
        <w:t>六、争议解决方式</w:t>
      </w:r>
    </w:p>
    <w:p>
      <w:pPr>
        <w:spacing w:line="360" w:lineRule="auto"/>
        <w:ind w:left="960" w:hanging="960" w:hangingChars="400"/>
        <w:rPr>
          <w:rFonts w:ascii="新宋体" w:hAnsi="新宋体" w:eastAsia="新宋体"/>
          <w:color w:val="000000"/>
          <w:sz w:val="24"/>
        </w:rPr>
      </w:pPr>
      <w:r>
        <w:rPr>
          <w:rFonts w:hint="eastAsia" w:ascii="新宋体" w:hAnsi="新宋体" w:eastAsia="新宋体"/>
          <w:color w:val="000000"/>
          <w:sz w:val="24"/>
        </w:rPr>
        <w:t xml:space="preserve">        凡有关本合同或执行本合同而发生的一切争执，合同双方通过友好协商解决，如不能协商一致，向甲方所在地人民法院提起诉讼。</w:t>
      </w:r>
    </w:p>
    <w:p>
      <w:pPr>
        <w:spacing w:line="360" w:lineRule="auto"/>
        <w:ind w:left="315" w:leftChars="150" w:firstLine="120" w:firstLineChars="50"/>
        <w:rPr>
          <w:rFonts w:ascii="新宋体" w:hAnsi="新宋体" w:eastAsia="新宋体"/>
          <w:color w:val="000000"/>
          <w:sz w:val="24"/>
        </w:rPr>
      </w:pPr>
      <w:r>
        <w:rPr>
          <w:rFonts w:hint="eastAsia" w:ascii="新宋体" w:hAnsi="新宋体" w:eastAsia="新宋体"/>
          <w:color w:val="000000"/>
          <w:sz w:val="24"/>
        </w:rPr>
        <w:t>七、合同一式肆份，甲方贰份，乙方贰份，经双方盖章签字后生效。</w:t>
      </w:r>
    </w:p>
    <w:p>
      <w:pPr>
        <w:ind w:left="470" w:hanging="470" w:hangingChars="196"/>
        <w:rPr>
          <w:rFonts w:ascii="新宋体" w:hAnsi="新宋体" w:eastAsia="新宋体"/>
          <w:color w:val="000000"/>
          <w:sz w:val="24"/>
        </w:rPr>
      </w:pPr>
    </w:p>
    <w:p>
      <w:pPr>
        <w:ind w:left="5153" w:hanging="5152" w:hangingChars="2147"/>
        <w:rPr>
          <w:rFonts w:ascii="新宋体" w:hAnsi="新宋体" w:eastAsia="新宋体"/>
          <w:color w:val="000000"/>
          <w:sz w:val="24"/>
        </w:rPr>
      </w:pPr>
      <w:r>
        <w:rPr>
          <w:rFonts w:hint="eastAsia" w:ascii="新宋体" w:hAnsi="新宋体" w:eastAsia="新宋体"/>
          <w:color w:val="000000"/>
          <w:sz w:val="24"/>
        </w:rPr>
        <w:t xml:space="preserve">甲方：                          乙方：  </w:t>
      </w:r>
    </w:p>
    <w:p>
      <w:pPr>
        <w:ind w:left="4800" w:hanging="4800" w:hangingChars="2000"/>
        <w:rPr>
          <w:rFonts w:ascii="新宋体" w:hAnsi="新宋体" w:eastAsia="新宋体"/>
          <w:color w:val="000000"/>
          <w:sz w:val="24"/>
        </w:rPr>
      </w:pPr>
    </w:p>
    <w:p>
      <w:pPr>
        <w:rPr>
          <w:rFonts w:ascii="新宋体" w:hAnsi="新宋体" w:eastAsia="新宋体"/>
          <w:color w:val="000000"/>
          <w:sz w:val="24"/>
        </w:rPr>
      </w:pPr>
      <w:r>
        <w:rPr>
          <w:rFonts w:hint="eastAsia" w:ascii="新宋体" w:hAnsi="新宋体" w:eastAsia="新宋体"/>
          <w:color w:val="000000"/>
          <w:sz w:val="24"/>
        </w:rPr>
        <w:t>委托代理人：                    委托代理人：</w:t>
      </w:r>
    </w:p>
    <w:p>
      <w:pPr>
        <w:rPr>
          <w:rFonts w:ascii="新宋体" w:hAnsi="新宋体" w:eastAsia="新宋体"/>
          <w:color w:val="000000"/>
          <w:sz w:val="24"/>
        </w:rPr>
      </w:pPr>
    </w:p>
    <w:p>
      <w:pPr>
        <w:rPr>
          <w:rFonts w:ascii="新宋体" w:hAnsi="新宋体" w:eastAsia="新宋体"/>
          <w:color w:val="000000"/>
          <w:sz w:val="24"/>
        </w:rPr>
      </w:pPr>
      <w:r>
        <w:rPr>
          <w:rFonts w:hint="eastAsia" w:ascii="新宋体" w:hAnsi="新宋体" w:eastAsia="新宋体"/>
          <w:color w:val="000000"/>
          <w:sz w:val="24"/>
        </w:rPr>
        <w:t>电话：                          电话 ：</w:t>
      </w:r>
    </w:p>
    <w:p>
      <w:pPr>
        <w:rPr>
          <w:rFonts w:ascii="新宋体" w:hAnsi="新宋体" w:eastAsia="新宋体"/>
          <w:color w:val="000000"/>
          <w:sz w:val="24"/>
        </w:rPr>
      </w:pPr>
    </w:p>
    <w:p>
      <w:pPr>
        <w:spacing w:line="360" w:lineRule="auto"/>
        <w:ind w:right="-159"/>
        <w:rPr>
          <w:rFonts w:ascii="新宋体" w:hAnsi="新宋体" w:eastAsia="新宋体"/>
          <w:color w:val="000000"/>
          <w:sz w:val="24"/>
        </w:rPr>
      </w:pPr>
      <w:r>
        <w:rPr>
          <w:rFonts w:hint="eastAsia" w:ascii="新宋体" w:hAnsi="新宋体" w:eastAsia="新宋体"/>
          <w:color w:val="000000"/>
          <w:sz w:val="24"/>
        </w:rPr>
        <w:t>地址：                          地址</w:t>
      </w:r>
      <w:r>
        <w:rPr>
          <w:rFonts w:ascii="新宋体" w:hAnsi="新宋体" w:eastAsia="新宋体"/>
          <w:color w:val="000000"/>
          <w:sz w:val="24"/>
        </w:rPr>
        <w:t>：</w:t>
      </w:r>
    </w:p>
    <w:p>
      <w:pPr>
        <w:ind w:left="5280" w:hanging="5280" w:hangingChars="2200"/>
        <w:rPr>
          <w:rFonts w:ascii="新宋体" w:hAnsi="新宋体" w:eastAsia="新宋体"/>
          <w:color w:val="000000"/>
          <w:sz w:val="24"/>
        </w:rPr>
      </w:pPr>
    </w:p>
    <w:p>
      <w:pPr>
        <w:rPr>
          <w:rFonts w:ascii="新宋体" w:hAnsi="新宋体" w:eastAsia="新宋体"/>
          <w:color w:val="000000"/>
          <w:sz w:val="24"/>
        </w:rPr>
      </w:pPr>
      <w:r>
        <w:rPr>
          <w:rFonts w:hint="eastAsia" w:ascii="新宋体" w:hAnsi="新宋体" w:eastAsia="新宋体"/>
          <w:color w:val="000000"/>
          <w:sz w:val="24"/>
        </w:rPr>
        <w:t xml:space="preserve">                                合同签订日期：        </w:t>
      </w:r>
    </w:p>
    <w:p>
      <w:pPr>
        <w:pStyle w:val="2"/>
        <w:numPr>
          <w:ilvl w:val="0"/>
          <w:numId w:val="0"/>
        </w:numPr>
        <w:spacing w:before="0" w:after="0" w:line="360" w:lineRule="exact"/>
        <w:ind w:left="842"/>
        <w:rPr>
          <w:rFonts w:ascii="新宋体" w:hAnsi="新宋体" w:eastAsia="新宋体"/>
          <w:color w:val="000000"/>
          <w:sz w:val="28"/>
          <w:szCs w:val="28"/>
        </w:rPr>
      </w:pPr>
      <w:bookmarkStart w:id="134" w:name="_Toc3215852"/>
      <w:r>
        <w:rPr>
          <w:rFonts w:hint="eastAsia" w:ascii="新宋体" w:hAnsi="新宋体" w:eastAsia="新宋体"/>
          <w:color w:val="000000"/>
          <w:sz w:val="28"/>
          <w:szCs w:val="28"/>
        </w:rPr>
        <w:t>第四部分 投标文件</w:t>
      </w:r>
      <w:bookmarkEnd w:id="130"/>
      <w:bookmarkEnd w:id="131"/>
      <w:bookmarkEnd w:id="132"/>
      <w:bookmarkEnd w:id="133"/>
      <w:r>
        <w:rPr>
          <w:rFonts w:hint="eastAsia" w:ascii="新宋体" w:hAnsi="新宋体" w:eastAsia="新宋体"/>
          <w:color w:val="000000"/>
          <w:sz w:val="28"/>
          <w:szCs w:val="28"/>
        </w:rPr>
        <w:t>主要</w:t>
      </w:r>
      <w:r>
        <w:rPr>
          <w:rFonts w:ascii="新宋体" w:hAnsi="新宋体" w:eastAsia="新宋体"/>
          <w:color w:val="000000"/>
          <w:sz w:val="28"/>
          <w:szCs w:val="28"/>
        </w:rPr>
        <w:t>内容</w:t>
      </w:r>
      <w:bookmarkEnd w:id="134"/>
    </w:p>
    <w:p/>
    <w:p>
      <w:pPr>
        <w:ind w:left="425"/>
        <w:rPr>
          <w:rFonts w:ascii="新宋体" w:hAnsi="新宋体" w:eastAsia="新宋体"/>
          <w:color w:val="000000"/>
          <w:sz w:val="24"/>
        </w:rPr>
      </w:pPr>
      <w:r>
        <w:rPr>
          <w:rFonts w:hint="eastAsia" w:ascii="新宋体" w:hAnsi="新宋体" w:eastAsia="新宋体"/>
          <w:color w:val="000000"/>
          <w:sz w:val="24"/>
        </w:rPr>
        <w:t>投标文件应包括的内容：</w:t>
      </w:r>
    </w:p>
    <w:p>
      <w:pPr>
        <w:numPr>
          <w:ilvl w:val="0"/>
          <w:numId w:val="10"/>
        </w:numPr>
        <w:spacing w:line="276" w:lineRule="auto"/>
        <w:ind w:left="634" w:leftChars="302"/>
        <w:rPr>
          <w:rFonts w:ascii="新宋体" w:hAnsi="新宋体" w:eastAsia="新宋体"/>
          <w:color w:val="000000"/>
          <w:sz w:val="24"/>
        </w:rPr>
      </w:pPr>
      <w:r>
        <w:rPr>
          <w:rFonts w:hint="eastAsia" w:ascii="新宋体" w:hAnsi="新宋体" w:eastAsia="新宋体"/>
          <w:color w:val="000000"/>
          <w:sz w:val="24"/>
        </w:rPr>
        <w:t>投标书</w:t>
      </w:r>
    </w:p>
    <w:p>
      <w:pPr>
        <w:numPr>
          <w:ilvl w:val="0"/>
          <w:numId w:val="10"/>
        </w:numPr>
        <w:spacing w:line="276" w:lineRule="auto"/>
        <w:ind w:left="634" w:leftChars="302"/>
        <w:rPr>
          <w:rFonts w:ascii="新宋体" w:hAnsi="新宋体" w:eastAsia="新宋体"/>
          <w:color w:val="000000"/>
          <w:sz w:val="24"/>
        </w:rPr>
      </w:pPr>
      <w:r>
        <w:rPr>
          <w:rFonts w:hint="eastAsia" w:ascii="新宋体" w:hAnsi="新宋体" w:eastAsia="新宋体"/>
          <w:color w:val="000000"/>
          <w:sz w:val="24"/>
        </w:rPr>
        <w:t>法人代表授权委托书（原件）。</w:t>
      </w:r>
    </w:p>
    <w:p>
      <w:pPr>
        <w:numPr>
          <w:ilvl w:val="0"/>
          <w:numId w:val="10"/>
        </w:numPr>
        <w:spacing w:line="276" w:lineRule="auto"/>
        <w:ind w:left="634" w:leftChars="302"/>
        <w:rPr>
          <w:rFonts w:ascii="新宋体" w:hAnsi="新宋体" w:eastAsia="新宋体"/>
          <w:color w:val="000000"/>
          <w:sz w:val="24"/>
        </w:rPr>
      </w:pPr>
      <w:r>
        <w:rPr>
          <w:rFonts w:hint="eastAsia" w:ascii="新宋体" w:hAnsi="新宋体" w:eastAsia="新宋体"/>
          <w:color w:val="000000"/>
          <w:sz w:val="24"/>
        </w:rPr>
        <w:t>招标设备原厂商</w:t>
      </w:r>
      <w:r>
        <w:rPr>
          <w:rFonts w:hint="eastAsia" w:ascii="新宋体" w:hAnsi="新宋体" w:eastAsia="新宋体"/>
          <w:b w:val="0"/>
          <w:bCs w:val="0"/>
          <w:sz w:val="24"/>
        </w:rPr>
        <w:t>（北塔）</w:t>
      </w:r>
      <w:r>
        <w:rPr>
          <w:rFonts w:hint="eastAsia" w:ascii="新宋体" w:hAnsi="新宋体" w:eastAsia="新宋体"/>
          <w:b w:val="0"/>
          <w:bCs w:val="0"/>
          <w:color w:val="000000"/>
          <w:sz w:val="24"/>
        </w:rPr>
        <w:t>针对本次项目的</w:t>
      </w:r>
      <w:r>
        <w:rPr>
          <w:rFonts w:hint="eastAsia" w:ascii="新宋体" w:hAnsi="新宋体" w:eastAsia="新宋体"/>
          <w:color w:val="000000"/>
          <w:sz w:val="24"/>
        </w:rPr>
        <w:t>授权书原件及质保函原件。</w:t>
      </w:r>
    </w:p>
    <w:p>
      <w:pPr>
        <w:numPr>
          <w:ilvl w:val="0"/>
          <w:numId w:val="10"/>
        </w:numPr>
        <w:spacing w:line="276" w:lineRule="auto"/>
        <w:ind w:left="634" w:leftChars="302"/>
        <w:rPr>
          <w:rFonts w:ascii="新宋体" w:hAnsi="新宋体" w:eastAsia="新宋体"/>
          <w:color w:val="000000"/>
          <w:sz w:val="24"/>
        </w:rPr>
      </w:pPr>
      <w:r>
        <w:rPr>
          <w:rFonts w:hint="eastAsia" w:ascii="新宋体" w:hAnsi="新宋体" w:eastAsia="新宋体"/>
          <w:color w:val="000000"/>
          <w:sz w:val="24"/>
        </w:rPr>
        <w:t>投标报价明细表。</w:t>
      </w:r>
    </w:p>
    <w:p>
      <w:pPr>
        <w:numPr>
          <w:ilvl w:val="0"/>
          <w:numId w:val="10"/>
        </w:numPr>
        <w:spacing w:line="276" w:lineRule="auto"/>
        <w:ind w:left="634" w:leftChars="302"/>
        <w:rPr>
          <w:rFonts w:ascii="新宋体" w:hAnsi="新宋体" w:eastAsia="新宋体"/>
          <w:color w:val="000000"/>
          <w:sz w:val="24"/>
        </w:rPr>
      </w:pPr>
      <w:r>
        <w:rPr>
          <w:rFonts w:hint="eastAsia" w:ascii="新宋体" w:hAnsi="新宋体" w:eastAsia="新宋体"/>
          <w:color w:val="000000"/>
          <w:sz w:val="24"/>
        </w:rPr>
        <w:t>技术方案、培训</w:t>
      </w:r>
      <w:r>
        <w:rPr>
          <w:rFonts w:ascii="新宋体" w:hAnsi="新宋体" w:eastAsia="新宋体"/>
          <w:color w:val="000000"/>
          <w:sz w:val="24"/>
        </w:rPr>
        <w:t>及</w:t>
      </w:r>
      <w:r>
        <w:rPr>
          <w:rFonts w:hint="eastAsia" w:ascii="新宋体" w:hAnsi="新宋体" w:eastAsia="新宋体"/>
          <w:color w:val="000000"/>
          <w:sz w:val="24"/>
        </w:rPr>
        <w:t>售后服务</w:t>
      </w:r>
      <w:r>
        <w:rPr>
          <w:rFonts w:ascii="新宋体" w:hAnsi="新宋体" w:eastAsia="新宋体"/>
          <w:color w:val="000000"/>
          <w:sz w:val="24"/>
        </w:rPr>
        <w:t>承诺</w:t>
      </w:r>
      <w:r>
        <w:rPr>
          <w:rFonts w:hint="eastAsia" w:ascii="新宋体" w:hAnsi="新宋体" w:eastAsia="新宋体"/>
          <w:color w:val="000000"/>
          <w:sz w:val="24"/>
        </w:rPr>
        <w:t>等。</w:t>
      </w:r>
    </w:p>
    <w:p>
      <w:pPr>
        <w:spacing w:line="276" w:lineRule="auto"/>
        <w:ind w:left="994"/>
        <w:rPr>
          <w:rFonts w:ascii="新宋体" w:hAnsi="新宋体" w:eastAsia="新宋体"/>
          <w:color w:val="000000"/>
          <w:sz w:val="24"/>
        </w:rPr>
      </w:pPr>
    </w:p>
    <w:p>
      <w:pPr>
        <w:spacing w:line="276" w:lineRule="auto"/>
        <w:ind w:left="995" w:leftChars="474"/>
        <w:rPr>
          <w:rFonts w:ascii="新宋体" w:hAnsi="新宋体" w:eastAsia="新宋体"/>
          <w:color w:val="000000"/>
          <w:sz w:val="24"/>
        </w:rPr>
      </w:pPr>
    </w:p>
    <w:p>
      <w:pPr>
        <w:pStyle w:val="2"/>
        <w:numPr>
          <w:ilvl w:val="0"/>
          <w:numId w:val="0"/>
        </w:numPr>
        <w:spacing w:before="0" w:after="0" w:line="360" w:lineRule="exact"/>
        <w:ind w:left="842"/>
        <w:rPr>
          <w:rFonts w:ascii="新宋体" w:hAnsi="新宋体" w:eastAsia="新宋体"/>
          <w:color w:val="000000"/>
          <w:sz w:val="28"/>
          <w:szCs w:val="28"/>
        </w:rPr>
      </w:pPr>
      <w:bookmarkStart w:id="135" w:name="_Toc312695500"/>
      <w:bookmarkStart w:id="136" w:name="_Toc312695181"/>
      <w:bookmarkStart w:id="137" w:name="_Toc312695315"/>
      <w:bookmarkStart w:id="138" w:name="_Toc313483586"/>
      <w:bookmarkStart w:id="139" w:name="_Toc3215853"/>
      <w:r>
        <w:rPr>
          <w:rFonts w:hint="eastAsia" w:ascii="新宋体" w:hAnsi="新宋体" w:eastAsia="新宋体"/>
          <w:color w:val="000000"/>
          <w:sz w:val="28"/>
          <w:szCs w:val="28"/>
        </w:rPr>
        <w:t xml:space="preserve">第五部分 </w:t>
      </w:r>
      <w:bookmarkEnd w:id="135"/>
      <w:bookmarkEnd w:id="136"/>
      <w:bookmarkEnd w:id="137"/>
      <w:bookmarkEnd w:id="138"/>
      <w:r>
        <w:rPr>
          <w:rFonts w:hint="eastAsia" w:ascii="新宋体" w:hAnsi="新宋体" w:eastAsia="新宋体"/>
          <w:color w:val="000000"/>
          <w:sz w:val="28"/>
          <w:szCs w:val="28"/>
        </w:rPr>
        <w:t>北塔智慧运维</w:t>
      </w:r>
      <w:r>
        <w:rPr>
          <w:rFonts w:ascii="新宋体" w:hAnsi="新宋体" w:eastAsia="新宋体"/>
          <w:color w:val="000000"/>
          <w:sz w:val="28"/>
          <w:szCs w:val="28"/>
        </w:rPr>
        <w:t>管理平台</w:t>
      </w:r>
      <w:r>
        <w:rPr>
          <w:rFonts w:hint="eastAsia" w:ascii="新宋体" w:hAnsi="新宋体" w:eastAsia="新宋体"/>
          <w:color w:val="000000"/>
          <w:sz w:val="28"/>
          <w:szCs w:val="28"/>
        </w:rPr>
        <w:t>采购及</w:t>
      </w:r>
      <w:r>
        <w:rPr>
          <w:rFonts w:ascii="新宋体" w:hAnsi="新宋体" w:eastAsia="新宋体"/>
          <w:color w:val="000000"/>
          <w:sz w:val="28"/>
          <w:szCs w:val="28"/>
        </w:rPr>
        <w:t>集成</w:t>
      </w:r>
      <w:r>
        <w:rPr>
          <w:rFonts w:hint="eastAsia" w:ascii="新宋体" w:hAnsi="新宋体" w:eastAsia="新宋体"/>
          <w:color w:val="000000"/>
          <w:sz w:val="28"/>
          <w:szCs w:val="28"/>
        </w:rPr>
        <w:t>项目技术</w:t>
      </w:r>
      <w:r>
        <w:rPr>
          <w:rFonts w:ascii="新宋体" w:hAnsi="新宋体" w:eastAsia="新宋体"/>
          <w:color w:val="000000"/>
          <w:sz w:val="28"/>
          <w:szCs w:val="28"/>
        </w:rPr>
        <w:t>需求</w:t>
      </w:r>
      <w:bookmarkEnd w:id="139"/>
    </w:p>
    <w:p/>
    <w:tbl>
      <w:tblPr>
        <w:tblStyle w:val="3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289"/>
        <w:gridCol w:w="7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序号</w:t>
            </w:r>
          </w:p>
        </w:tc>
        <w:tc>
          <w:tcPr>
            <w:tcW w:w="128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类别</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1</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总体要求</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监控平台采用</w:t>
            </w:r>
            <w:r>
              <w:rPr>
                <w:rFonts w:ascii="宋体" w:hAnsi="宋体" w:eastAsiaTheme="minorEastAsia" w:cstheme="minorBidi"/>
                <w:color w:val="000000"/>
                <w:kern w:val="0"/>
                <w:sz w:val="20"/>
                <w:szCs w:val="20"/>
              </w:rPr>
              <w:t>B/S</w:t>
            </w:r>
            <w:r>
              <w:rPr>
                <w:rFonts w:hint="eastAsia" w:ascii="宋体" w:hAnsi="宋体" w:cs="Songti SC Black" w:eastAsiaTheme="minorEastAsia"/>
                <w:color w:val="000000"/>
                <w:kern w:val="0"/>
                <w:sz w:val="20"/>
                <w:szCs w:val="20"/>
              </w:rPr>
              <w:t>架构</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系统平台和管理对象模块分离</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采用</w:t>
            </w:r>
            <w:r>
              <w:rPr>
                <w:rFonts w:ascii="宋体" w:hAnsi="宋体" w:eastAsiaTheme="minorEastAsia" w:cstheme="minorBidi"/>
                <w:color w:val="000000"/>
                <w:kern w:val="0"/>
                <w:sz w:val="20"/>
                <w:szCs w:val="20"/>
              </w:rPr>
              <w:t>JAVA+HTML5</w:t>
            </w:r>
            <w:r>
              <w:rPr>
                <w:rFonts w:hint="eastAsia" w:ascii="宋体" w:hAnsi="宋体" w:cs="Songti SC Black" w:eastAsiaTheme="minorEastAsia"/>
                <w:color w:val="000000"/>
                <w:kern w:val="0"/>
                <w:sz w:val="20"/>
                <w:szCs w:val="20"/>
              </w:rPr>
              <w:t>开发</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基于数据安全考虑</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本次平台不能使用</w:t>
            </w:r>
            <w:r>
              <w:rPr>
                <w:rFonts w:ascii="宋体" w:hAnsi="宋体" w:eastAsiaTheme="minorEastAsia" w:cstheme="minorBidi"/>
                <w:color w:val="000000"/>
                <w:kern w:val="0"/>
                <w:sz w:val="20"/>
                <w:szCs w:val="20"/>
              </w:rPr>
              <w:t>SQL</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Oracle</w:t>
            </w:r>
            <w:r>
              <w:rPr>
                <w:rFonts w:hint="eastAsia" w:ascii="宋体" w:hAnsi="宋体" w:cs="Songti SC Black" w:eastAsiaTheme="minorEastAsia"/>
                <w:color w:val="000000"/>
                <w:kern w:val="0"/>
                <w:sz w:val="20"/>
                <w:szCs w:val="20"/>
              </w:rPr>
              <w:t>或者</w:t>
            </w:r>
            <w:r>
              <w:rPr>
                <w:rFonts w:ascii="宋体" w:hAnsi="宋体" w:eastAsiaTheme="minorEastAsia" w:cstheme="minorBidi"/>
                <w:color w:val="000000"/>
                <w:kern w:val="0"/>
                <w:sz w:val="20"/>
                <w:szCs w:val="20"/>
              </w:rPr>
              <w:t>MYSQL</w:t>
            </w:r>
            <w:r>
              <w:rPr>
                <w:rFonts w:hint="eastAsia" w:ascii="宋体" w:hAnsi="宋体" w:cs="Songti SC Black" w:eastAsiaTheme="minorEastAsia"/>
                <w:color w:val="000000"/>
                <w:kern w:val="0"/>
                <w:sz w:val="20"/>
                <w:szCs w:val="20"/>
              </w:rPr>
              <w:t>数据库</w:t>
            </w:r>
            <w:r>
              <w:rPr>
                <w:rFonts w:hint="eastAsia" w:ascii="宋体" w:hAnsi="宋体" w:cs="Microsoft Tai Le" w:eastAsiaTheme="minorEastAsia"/>
                <w:color w:val="000000"/>
                <w:kern w:val="0"/>
                <w:sz w:val="20"/>
                <w:szCs w:val="20"/>
              </w:rPr>
              <w:t>，要求</w:t>
            </w:r>
            <w:r>
              <w:rPr>
                <w:rFonts w:hint="eastAsia" w:ascii="宋体" w:hAnsi="宋体" w:cs="Songti SC Black" w:eastAsiaTheme="minorEastAsia"/>
                <w:color w:val="000000"/>
                <w:kern w:val="0"/>
                <w:sz w:val="20"/>
                <w:szCs w:val="20"/>
              </w:rPr>
              <w:t>自带数据库</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数据做加密处理</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现场环境：网络设备200台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服务器50台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宿主机管理6台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虚拟机管理150台</w:t>
            </w:r>
            <w:r>
              <w:rPr>
                <w:rFonts w:hint="eastAsia" w:ascii="宋体" w:hAnsi="宋体" w:cs="Microsoft Tai Le" w:eastAsiaTheme="minorEastAsia"/>
                <w:color w:val="000000"/>
                <w:kern w:val="0"/>
                <w:sz w:val="20"/>
                <w:szCs w:val="20"/>
              </w:rPr>
              <w:t>、存储设备10台。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2</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系统平台</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rPr>
              <w:t>★</w:t>
            </w:r>
            <w:r>
              <w:rPr>
                <w:rFonts w:hint="eastAsia" w:ascii="宋体" w:hAnsi="宋体" w:cs="Songti SC Black" w:eastAsiaTheme="minorEastAsia"/>
                <w:color w:val="000000"/>
                <w:kern w:val="0"/>
                <w:sz w:val="20"/>
                <w:szCs w:val="20"/>
              </w:rPr>
              <w:t>提供以周维度的健康状态视图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提供趋势管理能力</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在一张图上列出问题最多的设备和指标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关键指标环比变化最大的线路和主机等信息</w:t>
            </w:r>
            <w:r>
              <w:rPr>
                <w:rFonts w:hint="eastAsia" w:ascii="宋体" w:hAnsi="宋体" w:cs="Microsoft Tai Le" w:eastAsiaTheme="minorEastAsia"/>
                <w:color w:val="000000"/>
                <w:kern w:val="0"/>
                <w:sz w:val="20"/>
                <w:szCs w:val="20"/>
              </w:rPr>
              <w:t>。（截图证明）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rPr>
              <w:t>★</w:t>
            </w:r>
            <w:r>
              <w:rPr>
                <w:rFonts w:hint="eastAsia" w:ascii="宋体" w:hAnsi="宋体" w:cs="Songti SC Black" w:eastAsiaTheme="minorEastAsia"/>
                <w:color w:val="000000"/>
                <w:kern w:val="0"/>
                <w:sz w:val="20"/>
                <w:szCs w:val="20"/>
              </w:rPr>
              <w:t>提供日维度的运维工作总览视图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在一张图上至少包含当前重要事件</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近期重要事件</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昨日设备性能变化汇总</w:t>
            </w:r>
            <w:r>
              <w:rPr>
                <w:rFonts w:hint="eastAsia" w:ascii="宋体" w:hAnsi="宋体" w:cs="Microsoft Tai Le" w:eastAsiaTheme="minorEastAsia"/>
                <w:color w:val="000000"/>
                <w:kern w:val="0"/>
                <w:sz w:val="20"/>
                <w:szCs w:val="20"/>
              </w:rPr>
              <w:t>；（截图证明）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支持跨广域网的分布式采集</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单套产品至少具备支持</w:t>
            </w:r>
            <w:r>
              <w:rPr>
                <w:rFonts w:ascii="宋体" w:hAnsi="宋体" w:eastAsiaTheme="minorEastAsia" w:cstheme="minorBidi"/>
                <w:color w:val="000000"/>
                <w:kern w:val="0"/>
                <w:sz w:val="20"/>
                <w:szCs w:val="20"/>
              </w:rPr>
              <w:t>20</w:t>
            </w:r>
            <w:r>
              <w:rPr>
                <w:rFonts w:hint="eastAsia" w:ascii="宋体" w:hAnsi="宋体" w:cs="Songti SC Black" w:eastAsiaTheme="minorEastAsia"/>
                <w:color w:val="000000"/>
                <w:kern w:val="0"/>
                <w:sz w:val="20"/>
                <w:szCs w:val="20"/>
              </w:rPr>
              <w:t>个及以上的分布式采集器</w:t>
            </w:r>
            <w:r>
              <w:rPr>
                <w:rFonts w:hint="eastAsia" w:ascii="宋体" w:hAnsi="宋体" w:cs="Microsoft Tai Le" w:eastAsiaTheme="minorEastAsia"/>
                <w:color w:val="000000"/>
                <w:kern w:val="0"/>
                <w:sz w:val="20"/>
                <w:szCs w:val="20"/>
              </w:rPr>
              <w:t>；（截图证明）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支持自动数据基线运维能力</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必须根据自动采集的数据形成基线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不能以人工导入或者手工绘制方式实现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基线能按照用户要求随时重构</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支持一年数据</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5</w:t>
            </w:r>
            <w:r>
              <w:rPr>
                <w:rFonts w:hint="eastAsia" w:ascii="宋体" w:hAnsi="宋体" w:cs="Songti SC Black" w:eastAsiaTheme="minorEastAsia"/>
                <w:color w:val="000000"/>
                <w:kern w:val="0"/>
                <w:sz w:val="20"/>
                <w:szCs w:val="20"/>
              </w:rPr>
              <w:t>分钟采样</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无压缩保存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支持性能数据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告警数据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配置数据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操作记录的一年数据转存</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要求支持不少于</w:t>
            </w:r>
            <w:r>
              <w:rPr>
                <w:rFonts w:ascii="宋体" w:hAnsi="宋体" w:eastAsiaTheme="minorEastAsia" w:cstheme="minorBidi"/>
                <w:color w:val="000000"/>
                <w:kern w:val="0"/>
                <w:sz w:val="20"/>
                <w:szCs w:val="20"/>
              </w:rPr>
              <w:t>10</w:t>
            </w:r>
            <w:r>
              <w:rPr>
                <w:rFonts w:hint="eastAsia" w:ascii="宋体" w:hAnsi="宋体" w:cs="Songti SC Black" w:eastAsiaTheme="minorEastAsia"/>
                <w:color w:val="000000"/>
                <w:kern w:val="0"/>
                <w:sz w:val="20"/>
                <w:szCs w:val="20"/>
              </w:rPr>
              <w:t>个并发用户同时登录系统并进行操作</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3</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告警管理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系统须提供配置模板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管理对象一旦添加</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即可自动适配相关智维规则</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告警规则</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报表规则</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无需人工参与配置</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系统能提供业务基线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支持自动学习被管对象业务运行规律</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自动形成业务基准基线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高负载基线和低负载基线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设备运行一旦偏离高</w:t>
            </w:r>
            <w:r>
              <w:rPr>
                <w:rFonts w:ascii="宋体" w:hAnsi="宋体" w:eastAsiaTheme="minorEastAsia" w:cstheme="minorBidi"/>
                <w:color w:val="000000"/>
                <w:kern w:val="0"/>
                <w:sz w:val="20"/>
                <w:szCs w:val="20"/>
              </w:rPr>
              <w:t>/</w:t>
            </w:r>
            <w:r>
              <w:rPr>
                <w:rFonts w:hint="eastAsia" w:ascii="宋体" w:hAnsi="宋体" w:cs="Songti SC Black" w:eastAsiaTheme="minorEastAsia"/>
                <w:color w:val="000000"/>
                <w:kern w:val="0"/>
                <w:sz w:val="20"/>
                <w:szCs w:val="20"/>
              </w:rPr>
              <w:t>低负载基线后即可进行异常提示</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rPr>
              <w:t>★</w:t>
            </w:r>
            <w:r>
              <w:rPr>
                <w:rFonts w:hint="eastAsia" w:ascii="宋体" w:hAnsi="宋体" w:cs="Songti SC Black" w:eastAsiaTheme="minorEastAsia"/>
                <w:color w:val="000000"/>
                <w:kern w:val="0"/>
                <w:sz w:val="20"/>
                <w:szCs w:val="20"/>
              </w:rPr>
              <w:t>系统提供处置知识库</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自动实现告警和处置知识快速关联</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方便的实现处置知识的快速应用</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trPr>
        <w:tc>
          <w:tcPr>
            <w:tcW w:w="7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4</w:t>
            </w:r>
          </w:p>
        </w:tc>
        <w:tc>
          <w:tcPr>
            <w:tcW w:w="12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告警信息输出</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支持屏幕颜色告警</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告警邮件提醒</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和短信猫告警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5</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报表管理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支持至少</w:t>
            </w:r>
            <w:r>
              <w:rPr>
                <w:rFonts w:ascii="宋体" w:hAnsi="宋体" w:eastAsiaTheme="minorEastAsia" w:cstheme="minorBidi"/>
                <w:color w:val="000000"/>
                <w:kern w:val="0"/>
                <w:sz w:val="20"/>
                <w:szCs w:val="20"/>
              </w:rPr>
              <w:t>5</w:t>
            </w:r>
            <w:r>
              <w:rPr>
                <w:rFonts w:hint="eastAsia" w:ascii="宋体" w:hAnsi="宋体" w:cs="Songti SC Black" w:eastAsiaTheme="minorEastAsia"/>
                <w:color w:val="000000"/>
                <w:kern w:val="0"/>
                <w:sz w:val="20"/>
                <w:szCs w:val="20"/>
              </w:rPr>
              <w:t>个不同指标在同一时间轴中进行对比分析</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支持历史记录任意时段拖拽查看</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实现任意时段和时长数据的对比分析</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支持报表统计时段自定义功能</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支持非自然月统计的月报表</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报表格式输出支持</w:t>
            </w:r>
            <w:r>
              <w:rPr>
                <w:rFonts w:ascii="宋体" w:hAnsi="宋体" w:eastAsiaTheme="minorEastAsia" w:cstheme="minorBidi"/>
                <w:color w:val="000000"/>
                <w:kern w:val="0"/>
                <w:sz w:val="20"/>
                <w:szCs w:val="20"/>
              </w:rPr>
              <w:t>PDF</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HMTL</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WORD</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EXCEL</w:t>
            </w:r>
            <w:r>
              <w:rPr>
                <w:rFonts w:hint="eastAsia" w:ascii="宋体" w:hAnsi="宋体" w:cs="Songti SC Black" w:eastAsiaTheme="minorEastAsia"/>
                <w:color w:val="000000"/>
                <w:kern w:val="0"/>
                <w:sz w:val="20"/>
                <w:szCs w:val="20"/>
              </w:rPr>
              <w:t>方式</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支持用户个性化报表开发</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提供方便的报表模板加载功能</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支持自定义报表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以报表模板为基础</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可根据模板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进行内容和报表推送方式的定制</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对资源各类关键的表格化数据进行实时快照记录</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并提供手动对比功能</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为动态数据提供有效的分析方法</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ascii="宋体" w:hAnsi="宋体" w:eastAsiaTheme="minorEastAsia" w:cstheme="minorBidi"/>
                <w:b/>
                <w:bCs/>
                <w:color w:val="000000"/>
                <w:kern w:val="0"/>
                <w:sz w:val="20"/>
                <w:szCs w:val="20"/>
              </w:rPr>
              <w:t>6</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主机管理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系统应支持对于</w:t>
            </w:r>
            <w:r>
              <w:rPr>
                <w:rFonts w:ascii="宋体" w:hAnsi="宋体" w:eastAsiaTheme="minorEastAsia" w:cstheme="minorBidi"/>
                <w:color w:val="000000"/>
                <w:kern w:val="0"/>
                <w:sz w:val="20"/>
                <w:szCs w:val="20"/>
              </w:rPr>
              <w:t>Windows</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HP unix</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Aix</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Solaris</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linux</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redhat</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CentOS</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Suse</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oracle</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Redflag</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类型操作系统的管理</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支持对于</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进程</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日志</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网络流量</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磁盘性能的监控</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支持国产麒麟操作系统管理</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支持对于</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进程</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日志</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网络流量</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磁盘性能的监控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w:t>
            </w:r>
            <w:r>
              <w:rPr>
                <w:rFonts w:ascii="宋体" w:hAnsi="宋体" w:eastAsiaTheme="minorEastAsia" w:cstheme="minorBidi"/>
                <w:color w:val="000000"/>
                <w:kern w:val="0"/>
                <w:sz w:val="20"/>
                <w:szCs w:val="20"/>
              </w:rPr>
              <w:t>HP</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Dell</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IBM</w:t>
            </w:r>
            <w:r>
              <w:rPr>
                <w:rFonts w:hint="eastAsia" w:ascii="宋体" w:hAnsi="宋体" w:cs="Songti SC Black" w:eastAsiaTheme="minorEastAsia"/>
                <w:color w:val="000000"/>
                <w:kern w:val="0"/>
                <w:sz w:val="20"/>
                <w:szCs w:val="20"/>
              </w:rPr>
              <w:t>的</w:t>
            </w:r>
            <w:r>
              <w:rPr>
                <w:rFonts w:ascii="宋体" w:hAnsi="宋体" w:eastAsiaTheme="minorEastAsia" w:cstheme="minorBidi"/>
                <w:color w:val="000000"/>
                <w:kern w:val="0"/>
                <w:sz w:val="20"/>
                <w:szCs w:val="20"/>
              </w:rPr>
              <w:t>windows</w:t>
            </w:r>
            <w:r>
              <w:rPr>
                <w:rFonts w:hint="eastAsia" w:ascii="宋体" w:hAnsi="宋体" w:cs="Songti SC Black" w:eastAsiaTheme="minorEastAsia"/>
                <w:color w:val="000000"/>
                <w:kern w:val="0"/>
                <w:sz w:val="20"/>
                <w:szCs w:val="20"/>
              </w:rPr>
              <w:t>服务器及</w:t>
            </w:r>
            <w:r>
              <w:rPr>
                <w:rFonts w:ascii="宋体" w:hAnsi="宋体" w:eastAsiaTheme="minorEastAsia" w:cstheme="minorBidi"/>
                <w:color w:val="000000"/>
                <w:kern w:val="0"/>
                <w:sz w:val="20"/>
                <w:szCs w:val="20"/>
              </w:rPr>
              <w:t xml:space="preserve"> IBM AIX</w:t>
            </w:r>
            <w:r>
              <w:rPr>
                <w:rFonts w:hint="eastAsia" w:ascii="宋体" w:hAnsi="宋体" w:cs="Songti SC Black" w:eastAsiaTheme="minorEastAsia"/>
                <w:color w:val="000000"/>
                <w:kern w:val="0"/>
                <w:sz w:val="20"/>
                <w:szCs w:val="20"/>
              </w:rPr>
              <w:t>小机的硬件状态的监控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监控内容包括温度</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风扇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磁盘</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电源等重要主机硬件的状态监控</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w:t>
            </w:r>
            <w:r>
              <w:rPr>
                <w:rFonts w:ascii="宋体" w:hAnsi="宋体" w:eastAsiaTheme="minorEastAsia" w:cstheme="minorBidi"/>
                <w:color w:val="000000"/>
                <w:kern w:val="0"/>
                <w:sz w:val="20"/>
                <w:szCs w:val="20"/>
              </w:rPr>
              <w:t>IPMI</w:t>
            </w:r>
            <w:r>
              <w:rPr>
                <w:rFonts w:hint="eastAsia" w:ascii="宋体" w:hAnsi="宋体" w:cs="Songti SC Black" w:eastAsiaTheme="minorEastAsia"/>
                <w:color w:val="000000"/>
                <w:kern w:val="0"/>
                <w:sz w:val="20"/>
                <w:szCs w:val="20"/>
              </w:rPr>
              <w:t>方式监控国产服务器硬件</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监控内容包括温度</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电源</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风扇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电压等硬件状态</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支持对主机进程列表的监控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支持定期备份进程表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支持进程表比对</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进程状态告警</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支持用户自定义数据库</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业务系统的文本日志关键字检测</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支持主机趋势管理视图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包括</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文件系统</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流量指标的对比</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磁盘容量可用时间的预测</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支持自动搜索出存在内存泄露的主机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并找出具体泄露进程</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支持波浪图方式显示所有主机的全局信息</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以图形化方式显示主机的常用管理参数</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主机设备添加支持</w:t>
            </w:r>
            <w:r>
              <w:rPr>
                <w:rFonts w:ascii="宋体" w:hAnsi="宋体" w:eastAsiaTheme="minorEastAsia" w:cstheme="minorBidi"/>
                <w:color w:val="000000"/>
                <w:kern w:val="0"/>
                <w:sz w:val="20"/>
                <w:szCs w:val="20"/>
              </w:rPr>
              <w:t>EXCEL</w:t>
            </w:r>
            <w:r>
              <w:rPr>
                <w:rFonts w:hint="eastAsia" w:ascii="宋体" w:hAnsi="宋体" w:cs="Songti SC Black" w:eastAsiaTheme="minorEastAsia"/>
                <w:color w:val="000000"/>
                <w:kern w:val="0"/>
                <w:sz w:val="20"/>
                <w:szCs w:val="20"/>
              </w:rPr>
              <w:t>格式导入系统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可对统计范围内的主机进行详细的实时分析数据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根据使用率自动按照</w:t>
            </w:r>
            <w:r>
              <w:rPr>
                <w:rFonts w:ascii="宋体" w:hAnsi="宋体" w:eastAsiaTheme="minorEastAsia" w:cstheme="minorBidi"/>
                <w:color w:val="000000"/>
                <w:kern w:val="0"/>
                <w:sz w:val="20"/>
                <w:szCs w:val="20"/>
              </w:rPr>
              <w:t>TOP 20</w:t>
            </w:r>
            <w:r>
              <w:rPr>
                <w:rFonts w:hint="eastAsia" w:ascii="宋体" w:hAnsi="宋体" w:cs="Songti SC Black" w:eastAsiaTheme="minorEastAsia"/>
                <w:color w:val="000000"/>
                <w:kern w:val="0"/>
                <w:sz w:val="20"/>
                <w:szCs w:val="20"/>
              </w:rPr>
              <w:t>排名</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提供最近一个月操作系统总体负载使用的</w:t>
            </w:r>
            <w:r>
              <w:rPr>
                <w:rFonts w:ascii="宋体" w:hAnsi="宋体" w:eastAsiaTheme="minorEastAsia" w:cstheme="minorBidi"/>
                <w:color w:val="000000"/>
                <w:kern w:val="0"/>
                <w:sz w:val="20"/>
                <w:szCs w:val="20"/>
              </w:rPr>
              <w:t>TOP20</w:t>
            </w:r>
            <w:r>
              <w:rPr>
                <w:rFonts w:hint="eastAsia" w:ascii="宋体" w:hAnsi="宋体" w:cs="Songti SC Black" w:eastAsiaTheme="minorEastAsia"/>
                <w:color w:val="000000"/>
                <w:kern w:val="0"/>
                <w:sz w:val="20"/>
                <w:szCs w:val="20"/>
              </w:rPr>
              <w:t>的排名</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支持系统拓扑图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一张图可以展现所有主机承载的数据库</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中间件和标准应用之间的实时状态监控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为主机监控提供全景视图</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提供主机可用率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主机性能报表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系统告警统计报表等多套基于采集和管理数据生成的客观统计报表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eastAsiaTheme="minorEastAsia" w:cstheme="minorBidi"/>
                <w:b/>
                <w:bCs/>
                <w:color w:val="000000"/>
                <w:kern w:val="0"/>
                <w:sz w:val="20"/>
                <w:szCs w:val="20"/>
              </w:rPr>
              <w:t>7</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网络管理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系统能支持各大设备厂商的各型号设备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支持多厂商设备组成的混合网络自动发现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并且提供设备的真实面板</w:t>
            </w:r>
            <w:r>
              <w:rPr>
                <w:rFonts w:ascii="宋体" w:hAnsi="宋体" w:eastAsiaTheme="minorEastAsia" w:cstheme="minorBidi"/>
                <w:color w:val="000000"/>
                <w:kern w:val="0"/>
                <w:sz w:val="20"/>
                <w:szCs w:val="20"/>
              </w:rPr>
              <w:t>,</w:t>
            </w:r>
            <w:r>
              <w:rPr>
                <w:rFonts w:hint="eastAsia" w:ascii="宋体" w:hAnsi="宋体" w:cs="Songti SC Black" w:eastAsiaTheme="minorEastAsia"/>
                <w:color w:val="000000"/>
                <w:kern w:val="0"/>
                <w:sz w:val="20"/>
                <w:szCs w:val="20"/>
              </w:rPr>
              <w:t>提供端口关闭与启用操作</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可以更改</w:t>
            </w:r>
            <w:r>
              <w:rPr>
                <w:rFonts w:ascii="宋体" w:hAnsi="宋体" w:eastAsiaTheme="minorEastAsia" w:cstheme="minorBidi"/>
                <w:color w:val="000000"/>
                <w:kern w:val="0"/>
                <w:sz w:val="20"/>
                <w:szCs w:val="20"/>
              </w:rPr>
              <w:t>VLAN 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拓扑图的生成必须支持网络设备的</w:t>
            </w:r>
            <w:r>
              <w:rPr>
                <w:rFonts w:ascii="宋体" w:hAnsi="宋体" w:eastAsiaTheme="minorEastAsia" w:cstheme="minorBidi"/>
                <w:color w:val="000000"/>
                <w:kern w:val="0"/>
                <w:sz w:val="20"/>
                <w:szCs w:val="20"/>
              </w:rPr>
              <w:t>SNMP V1</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V2</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V3</w:t>
            </w:r>
            <w:r>
              <w:rPr>
                <w:rFonts w:hint="eastAsia" w:ascii="宋体" w:hAnsi="宋体" w:cs="Songti SC Black" w:eastAsiaTheme="minorEastAsia"/>
                <w:color w:val="000000"/>
                <w:kern w:val="0"/>
                <w:sz w:val="20"/>
                <w:szCs w:val="20"/>
              </w:rPr>
              <w:t>这三个版本的混和生成</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并能对</w:t>
            </w:r>
            <w:r>
              <w:rPr>
                <w:rFonts w:ascii="宋体" w:hAnsi="宋体" w:eastAsiaTheme="minorEastAsia" w:cstheme="minorBidi"/>
                <w:color w:val="000000"/>
                <w:kern w:val="0"/>
                <w:sz w:val="20"/>
                <w:szCs w:val="20"/>
              </w:rPr>
              <w:t>SNMP V3</w:t>
            </w:r>
            <w:r>
              <w:rPr>
                <w:rFonts w:hint="eastAsia" w:ascii="宋体" w:hAnsi="宋体" w:cs="Songti SC Black" w:eastAsiaTheme="minorEastAsia"/>
                <w:color w:val="000000"/>
                <w:kern w:val="0"/>
                <w:sz w:val="20"/>
                <w:szCs w:val="20"/>
              </w:rPr>
              <w:t>设备进行管理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系统必须能解决广域网环境中子网</w:t>
            </w:r>
            <w:r>
              <w:rPr>
                <w:rFonts w:ascii="宋体" w:hAnsi="宋体" w:eastAsiaTheme="minorEastAsia" w:cstheme="minorBidi"/>
                <w:color w:val="000000"/>
                <w:kern w:val="0"/>
                <w:sz w:val="20"/>
                <w:szCs w:val="20"/>
              </w:rPr>
              <w:t>IP</w:t>
            </w:r>
            <w:r>
              <w:rPr>
                <w:rFonts w:hint="eastAsia" w:ascii="宋体" w:hAnsi="宋体" w:cs="Songti SC Black" w:eastAsiaTheme="minorEastAsia"/>
                <w:color w:val="000000"/>
                <w:kern w:val="0"/>
                <w:sz w:val="20"/>
                <w:szCs w:val="20"/>
              </w:rPr>
              <w:t>不可达的问题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必须支持由分布式采集器为起点的拓扑发现算法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支持拓扑添加功能</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在保留原有拓扑图的基础上</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搜索新的网络设备并自动添加到网络拓扑上</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支持对全网的网络设备线路按照流量</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带宽占用比</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丢包率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错包率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广播包等指标的实时负载进行排名</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可根据</w:t>
            </w:r>
            <w:r>
              <w:rPr>
                <w:rFonts w:ascii="宋体" w:hAnsi="宋体" w:eastAsiaTheme="minorEastAsia" w:cstheme="minorBidi"/>
                <w:color w:val="000000"/>
                <w:kern w:val="0"/>
                <w:sz w:val="20"/>
                <w:szCs w:val="20"/>
              </w:rPr>
              <w:t>IP</w:t>
            </w:r>
            <w:r>
              <w:rPr>
                <w:rFonts w:hint="eastAsia" w:ascii="宋体" w:hAnsi="宋体" w:cs="Songti SC Black" w:eastAsiaTheme="minorEastAsia"/>
                <w:color w:val="000000"/>
                <w:kern w:val="0"/>
                <w:sz w:val="20"/>
                <w:szCs w:val="20"/>
              </w:rPr>
              <w:t>或</w:t>
            </w:r>
            <w:r>
              <w:rPr>
                <w:rFonts w:ascii="宋体" w:hAnsi="宋体" w:eastAsiaTheme="minorEastAsia" w:cstheme="minorBidi"/>
                <w:color w:val="000000"/>
                <w:kern w:val="0"/>
                <w:sz w:val="20"/>
                <w:szCs w:val="20"/>
              </w:rPr>
              <w:t>MAC</w:t>
            </w:r>
            <w:r>
              <w:rPr>
                <w:rFonts w:hint="eastAsia" w:ascii="宋体" w:hAnsi="宋体" w:cs="Songti SC Black" w:eastAsiaTheme="minorEastAsia"/>
                <w:color w:val="000000"/>
                <w:kern w:val="0"/>
                <w:sz w:val="20"/>
                <w:szCs w:val="20"/>
              </w:rPr>
              <w:t>查询某客户端连接在哪个交换机的哪个端口</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支持以</w:t>
            </w:r>
            <w:r>
              <w:rPr>
                <w:rFonts w:ascii="宋体" w:hAnsi="宋体" w:eastAsiaTheme="minorEastAsia" w:cstheme="minorBidi"/>
                <w:color w:val="000000"/>
                <w:kern w:val="0"/>
                <w:sz w:val="20"/>
                <w:szCs w:val="20"/>
              </w:rPr>
              <w:t>IP</w:t>
            </w:r>
            <w:r>
              <w:rPr>
                <w:rFonts w:hint="eastAsia" w:ascii="宋体" w:hAnsi="宋体" w:cs="Songti SC Black" w:eastAsiaTheme="minorEastAsia"/>
                <w:color w:val="000000"/>
                <w:kern w:val="0"/>
                <w:sz w:val="20"/>
                <w:szCs w:val="20"/>
              </w:rPr>
              <w:t>段方式预设各类管理规则</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实现分类管理</w:t>
            </w:r>
            <w:r>
              <w:rPr>
                <w:rFonts w:ascii="宋体" w:hAnsi="宋体" w:eastAsiaTheme="minorEastAsia" w:cstheme="minorBidi"/>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支持网络设备的</w:t>
            </w:r>
            <w:r>
              <w:rPr>
                <w:rFonts w:ascii="宋体" w:hAnsi="宋体" w:eastAsiaTheme="minorEastAsia" w:cstheme="minorBidi"/>
                <w:color w:val="000000"/>
                <w:kern w:val="0"/>
                <w:sz w:val="20"/>
                <w:szCs w:val="20"/>
              </w:rPr>
              <w:t>ARP</w:t>
            </w:r>
            <w:r>
              <w:rPr>
                <w:rFonts w:hint="eastAsia" w:ascii="宋体" w:hAnsi="宋体" w:cs="Songti SC Black" w:eastAsiaTheme="minorEastAsia"/>
                <w:color w:val="000000"/>
                <w:kern w:val="0"/>
                <w:sz w:val="20"/>
                <w:szCs w:val="20"/>
              </w:rPr>
              <w:t>表</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MAC</w:t>
            </w:r>
            <w:r>
              <w:rPr>
                <w:rFonts w:hint="eastAsia" w:ascii="宋体" w:hAnsi="宋体" w:cs="Songti SC Black" w:eastAsiaTheme="minorEastAsia"/>
                <w:color w:val="000000"/>
                <w:kern w:val="0"/>
                <w:sz w:val="20"/>
                <w:szCs w:val="20"/>
              </w:rPr>
              <w:t>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路由表等表格数据定期存储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差异自动比对</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提供路由表历史快照对比</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提供任意</w:t>
            </w:r>
            <w:r>
              <w:rPr>
                <w:rFonts w:ascii="宋体" w:hAnsi="宋体" w:eastAsiaTheme="minorEastAsia" w:cstheme="minorBidi"/>
                <w:b/>
                <w:bCs/>
                <w:color w:val="000000"/>
                <w:kern w:val="0"/>
                <w:sz w:val="20"/>
                <w:szCs w:val="20"/>
              </w:rPr>
              <w:t>IP</w:t>
            </w:r>
            <w:r>
              <w:rPr>
                <w:rFonts w:hint="eastAsia" w:ascii="宋体" w:hAnsi="宋体" w:cs="Songti SC Black" w:eastAsiaTheme="minorEastAsia"/>
                <w:b/>
                <w:bCs/>
                <w:color w:val="000000"/>
                <w:kern w:val="0"/>
                <w:sz w:val="20"/>
                <w:szCs w:val="20"/>
              </w:rPr>
              <w:t>类型对象的监控</w:t>
            </w:r>
            <w:r>
              <w:rPr>
                <w:rFonts w:hint="eastAsia" w:ascii="宋体" w:hAnsi="宋体" w:cs="Microsoft Tai Le" w:eastAsiaTheme="minorEastAsia"/>
                <w:b/>
                <w:bCs/>
                <w:color w:val="000000"/>
                <w:kern w:val="0"/>
                <w:sz w:val="20"/>
                <w:szCs w:val="20"/>
              </w:rPr>
              <w:t>，</w:t>
            </w:r>
            <w:r>
              <w:rPr>
                <w:rFonts w:hint="eastAsia" w:ascii="宋体" w:hAnsi="宋体" w:cs="Songti SC Black" w:eastAsiaTheme="minorEastAsia"/>
                <w:b/>
                <w:bCs/>
                <w:color w:val="000000"/>
                <w:kern w:val="0"/>
                <w:sz w:val="20"/>
                <w:szCs w:val="20"/>
              </w:rPr>
              <w:t>支持通过</w:t>
            </w:r>
            <w:r>
              <w:rPr>
                <w:rFonts w:ascii="宋体" w:hAnsi="宋体" w:eastAsiaTheme="minorEastAsia" w:cstheme="minorBidi"/>
                <w:b/>
                <w:bCs/>
                <w:color w:val="000000"/>
                <w:kern w:val="0"/>
                <w:sz w:val="20"/>
                <w:szCs w:val="20"/>
              </w:rPr>
              <w:t>ping</w:t>
            </w:r>
            <w:r>
              <w:rPr>
                <w:rFonts w:hint="eastAsia" w:ascii="宋体" w:hAnsi="宋体" w:cs="Songti SC Black" w:eastAsiaTheme="minorEastAsia"/>
                <w:b/>
                <w:bCs/>
                <w:color w:val="000000"/>
                <w:kern w:val="0"/>
                <w:sz w:val="20"/>
                <w:szCs w:val="20"/>
              </w:rPr>
              <w:t>方式检测在线设备状态</w:t>
            </w:r>
            <w:r>
              <w:rPr>
                <w:rFonts w:hint="eastAsia" w:ascii="宋体" w:hAnsi="宋体" w:cs="Microsoft Tai Le" w:eastAsiaTheme="minorEastAsia"/>
                <w:b/>
                <w:bCs/>
                <w:color w:val="000000"/>
                <w:kern w:val="0"/>
                <w:sz w:val="20"/>
                <w:szCs w:val="20"/>
              </w:rPr>
              <w:t>、</w:t>
            </w:r>
            <w:r>
              <w:rPr>
                <w:rFonts w:ascii="宋体" w:hAnsi="宋体" w:eastAsiaTheme="minorEastAsia" w:cstheme="minorBidi"/>
                <w:b/>
                <w:bCs/>
                <w:color w:val="000000"/>
                <w:kern w:val="0"/>
                <w:sz w:val="20"/>
                <w:szCs w:val="20"/>
              </w:rPr>
              <w:t>TCP</w:t>
            </w:r>
            <w:r>
              <w:rPr>
                <w:rFonts w:hint="eastAsia" w:ascii="宋体" w:hAnsi="宋体" w:cs="Songti SC Black" w:eastAsiaTheme="minorEastAsia"/>
                <w:b/>
                <w:bCs/>
                <w:color w:val="000000"/>
                <w:kern w:val="0"/>
                <w:sz w:val="20"/>
                <w:szCs w:val="20"/>
              </w:rPr>
              <w:t>端口状态</w:t>
            </w:r>
            <w:r>
              <w:rPr>
                <w:rFonts w:hint="eastAsia" w:ascii="宋体" w:hAnsi="宋体" w:cs="Microsoft Tai Le" w:eastAsiaTheme="minorEastAsia"/>
                <w:b/>
                <w:bCs/>
                <w:color w:val="000000"/>
                <w:kern w:val="0"/>
                <w:sz w:val="20"/>
                <w:szCs w:val="20"/>
              </w:rPr>
              <w:t>、</w:t>
            </w:r>
            <w:r>
              <w:rPr>
                <w:rFonts w:ascii="宋体" w:hAnsi="宋体" w:eastAsiaTheme="minorEastAsia" w:cstheme="minorBidi"/>
                <w:b/>
                <w:bCs/>
                <w:color w:val="000000"/>
                <w:kern w:val="0"/>
                <w:sz w:val="20"/>
                <w:szCs w:val="20"/>
              </w:rPr>
              <w:t>URL</w:t>
            </w:r>
            <w:r>
              <w:rPr>
                <w:rFonts w:hint="eastAsia" w:ascii="宋体" w:hAnsi="宋体" w:cs="Songti SC Black" w:eastAsiaTheme="minorEastAsia"/>
                <w:b/>
                <w:bCs/>
                <w:color w:val="000000"/>
                <w:kern w:val="0"/>
                <w:sz w:val="20"/>
                <w:szCs w:val="20"/>
              </w:rPr>
              <w:t>跳转方式实现该对象的基础管理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eastAsiaTheme="minorEastAsia" w:cstheme="minorBidi"/>
                <w:b/>
                <w:bCs/>
                <w:color w:val="000000"/>
                <w:kern w:val="0"/>
                <w:sz w:val="20"/>
                <w:szCs w:val="20"/>
              </w:rPr>
              <w:t>提供IP地址-MAC地址-交换机端口匹配结果分组和查询；自动发现使用中的IP地址及接入位置，跟踪其历史使用情况;支持用户对IP网段进行规划和分配，自动监测使用中的IP地址及接入位置，及时发现非法使用的IP地址，帮助用户进行IP地址规划和监控；帮助用户分析网络事件的影响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要求拓扑图上的设备和线路支持按照性能参数的不同区间以红</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黄</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绿颜色进行显示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性能负载可自定义</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支持不同采集域的设备在一张图上进行展现</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且通过图标跳转到任意拓扑图</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对网络链路丢包</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错包</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广播包的趋势变化进行实时监控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帮助判断网络潜在的故障风险</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并且提供详尽的处理建议</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rPr>
              <w:t>★</w:t>
            </w:r>
            <w:r>
              <w:rPr>
                <w:rFonts w:hint="eastAsia" w:ascii="宋体" w:hAnsi="宋体" w:cs="Songti SC Black" w:eastAsiaTheme="minorEastAsia"/>
                <w:b/>
                <w:bCs/>
                <w:color w:val="000000"/>
                <w:kern w:val="0"/>
                <w:sz w:val="20"/>
                <w:szCs w:val="20"/>
              </w:rPr>
              <w:t>对设备配置进行管理</w:t>
            </w:r>
            <w:r>
              <w:rPr>
                <w:rFonts w:hint="eastAsia" w:ascii="宋体" w:hAnsi="宋体" w:cs="Microsoft Tai Le" w:eastAsiaTheme="minorEastAsia"/>
                <w:b/>
                <w:bCs/>
                <w:color w:val="000000"/>
                <w:kern w:val="0"/>
                <w:sz w:val="20"/>
                <w:szCs w:val="20"/>
              </w:rPr>
              <w:t>，</w:t>
            </w:r>
            <w:r>
              <w:rPr>
                <w:rFonts w:hint="eastAsia" w:ascii="宋体" w:hAnsi="宋体" w:cs="Songti SC Black" w:eastAsiaTheme="minorEastAsia"/>
                <w:b/>
                <w:bCs/>
                <w:color w:val="000000"/>
                <w:kern w:val="0"/>
                <w:sz w:val="20"/>
                <w:szCs w:val="20"/>
              </w:rPr>
              <w:t>实现网络设备的配置文件自动备份</w:t>
            </w:r>
            <w:r>
              <w:rPr>
                <w:rFonts w:hint="eastAsia" w:ascii="宋体" w:hAnsi="宋体" w:cs="Microsoft Tai Le" w:eastAsiaTheme="minorEastAsia"/>
                <w:b/>
                <w:bCs/>
                <w:color w:val="000000"/>
                <w:kern w:val="0"/>
                <w:sz w:val="20"/>
                <w:szCs w:val="20"/>
              </w:rPr>
              <w:t>，</w:t>
            </w:r>
            <w:r>
              <w:rPr>
                <w:rFonts w:hint="eastAsia" w:ascii="宋体" w:hAnsi="宋体" w:cs="Songti SC Black" w:eastAsiaTheme="minorEastAsia"/>
                <w:b/>
                <w:bCs/>
                <w:color w:val="000000"/>
                <w:kern w:val="0"/>
                <w:sz w:val="20"/>
                <w:szCs w:val="20"/>
              </w:rPr>
              <w:t>并支持对配置文件变更状况进行自动监控</w:t>
            </w:r>
            <w:r>
              <w:rPr>
                <w:rFonts w:hint="eastAsia" w:ascii="宋体" w:hAnsi="宋体" w:cs="Microsoft Tai Le" w:eastAsiaTheme="minorEastAsia"/>
                <w:b/>
                <w:bCs/>
                <w:color w:val="000000"/>
                <w:kern w:val="0"/>
                <w:sz w:val="20"/>
                <w:szCs w:val="20"/>
              </w:rPr>
              <w:t>，</w:t>
            </w:r>
            <w:r>
              <w:rPr>
                <w:rFonts w:hint="eastAsia" w:ascii="宋体" w:hAnsi="宋体" w:cs="Songti SC Black" w:eastAsiaTheme="minorEastAsia"/>
                <w:b/>
                <w:bCs/>
                <w:color w:val="000000"/>
                <w:kern w:val="0"/>
                <w:sz w:val="20"/>
                <w:szCs w:val="20"/>
              </w:rPr>
              <w:t>当出现变动时</w:t>
            </w:r>
            <w:r>
              <w:rPr>
                <w:rFonts w:hint="eastAsia" w:ascii="宋体" w:hAnsi="宋体" w:cs="Microsoft Tai Le" w:eastAsiaTheme="minorEastAsia"/>
                <w:b/>
                <w:bCs/>
                <w:color w:val="000000"/>
                <w:kern w:val="0"/>
                <w:sz w:val="20"/>
                <w:szCs w:val="20"/>
              </w:rPr>
              <w:t>，</w:t>
            </w:r>
            <w:r>
              <w:rPr>
                <w:rFonts w:hint="eastAsia" w:ascii="宋体" w:hAnsi="宋体" w:cs="Songti SC Black" w:eastAsiaTheme="minorEastAsia"/>
                <w:b/>
                <w:bCs/>
                <w:color w:val="000000"/>
                <w:kern w:val="0"/>
                <w:sz w:val="20"/>
                <w:szCs w:val="20"/>
              </w:rPr>
              <w:t>需要及时通知管理员</w:t>
            </w:r>
            <w:r>
              <w:rPr>
                <w:rFonts w:hint="eastAsia" w:ascii="宋体" w:hAnsi="宋体" w:cs="Microsoft Tai Le" w:eastAsiaTheme="minorEastAsia"/>
                <w:b/>
                <w:bCs/>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支持拓扑图自动布局</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网络设备可实现星型排布</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圆型排布</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从上到下树形排布</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从左到右树形排布多种自动排布方式</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在拓扑图上可直接显示线路峰值流量</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广播流量</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组播流量信息</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拓扑图设备间的连线除直线形式外</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还可支持以折线</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合并线等线型</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并可将网络拓扑按照线路图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地域分布图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逻辑关系图等方式呈现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提供网络设备可用率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线路连通率</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网络设备负载分析报表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线路负载分析报表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网络告警统计报表等多套基于采集和管理数据生成的客观统计报表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eastAsiaTheme="minorEastAsia" w:cstheme="minorBidi"/>
                <w:b/>
                <w:bCs/>
                <w:color w:val="000000"/>
                <w:kern w:val="0"/>
                <w:sz w:val="20"/>
                <w:szCs w:val="20"/>
              </w:rPr>
              <w:t>8</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rPr>
                <w:rFonts w:ascii="宋体" w:hAnsi="宋体" w:cs="Songti SC Black" w:eastAsiaTheme="minorEastAsia"/>
                <w:b/>
                <w:bCs/>
                <w:color w:val="000000"/>
                <w:kern w:val="0"/>
                <w:sz w:val="20"/>
                <w:szCs w:val="20"/>
              </w:rPr>
            </w:pPr>
          </w:p>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虚拟化管理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支持虚拟机中心</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文件夹</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数据中心</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集群</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宿主机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资源池</w:t>
            </w:r>
            <w:r>
              <w:rPr>
                <w:rFonts w:hint="eastAsia" w:ascii="宋体" w:hAnsi="宋体" w:cs="Microsoft Tai Le" w:eastAsiaTheme="minorEastAsia"/>
                <w:color w:val="000000"/>
                <w:kern w:val="0"/>
                <w:sz w:val="20"/>
                <w:szCs w:val="20"/>
              </w:rPr>
              <w:t>、</w:t>
            </w:r>
            <w:r>
              <w:rPr>
                <w:rFonts w:ascii="宋体" w:hAnsi="宋体" w:eastAsiaTheme="minorEastAsia" w:cstheme="minorBidi"/>
                <w:color w:val="000000"/>
                <w:kern w:val="0"/>
                <w:sz w:val="20"/>
                <w:szCs w:val="20"/>
              </w:rPr>
              <w:t>vApp</w:t>
            </w:r>
            <w:r>
              <w:rPr>
                <w:rFonts w:hint="eastAsia" w:ascii="宋体" w:hAnsi="宋体" w:cs="Songti SC Black" w:eastAsiaTheme="minorEastAsia"/>
                <w:color w:val="000000"/>
                <w:kern w:val="0"/>
                <w:sz w:val="20"/>
                <w:szCs w:val="20"/>
              </w:rPr>
              <w:t>的全面管理</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包括实时性能和逻辑关系</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实现宿主机配置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状态</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性能信息的一体化管理</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实现虚拟机配置</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状态</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性能信息的一体化管理</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要求以图形化方式展现虚拟化拓扑</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显示宿主机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虚拟机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虚拟网络</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数据存储关系</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动态显示管理对象负载</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告警</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支持对可分配资源如</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存储空间进行容量管理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要求能对现有容量情况做一个清晰的分析和基于现状未来可用期限的预测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能从从未运行虚拟机</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虚拟机快照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计划下线到期</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空闲虚拟机</w:t>
            </w:r>
            <w:r>
              <w:rPr>
                <w:rFonts w:ascii="宋体" w:hAnsi="宋体" w:eastAsiaTheme="minorEastAsia" w:cstheme="minorBidi"/>
                <w:color w:val="000000"/>
                <w:kern w:val="0"/>
                <w:sz w:val="20"/>
                <w:szCs w:val="20"/>
              </w:rPr>
              <w:t>4</w:t>
            </w:r>
            <w:r>
              <w:rPr>
                <w:rFonts w:hint="eastAsia" w:ascii="宋体" w:hAnsi="宋体" w:cs="Songti SC Black" w:eastAsiaTheme="minorEastAsia"/>
                <w:color w:val="000000"/>
                <w:kern w:val="0"/>
                <w:sz w:val="20"/>
                <w:szCs w:val="20"/>
              </w:rPr>
              <w:t>个角度计算可回收的资源</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支持对虚拟机</w:t>
            </w:r>
            <w:r>
              <w:rPr>
                <w:rFonts w:ascii="宋体" w:hAnsi="宋体" w:eastAsiaTheme="minorEastAsia" w:cstheme="minorBidi"/>
                <w:color w:val="000000"/>
                <w:kern w:val="0"/>
                <w:sz w:val="20"/>
                <w:szCs w:val="20"/>
              </w:rPr>
              <w:t>CPU</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内存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虚拟机磁盘</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网络的性能进行分析</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并可基于现有数据识别运行和配置的合理性</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并给出解决建议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支持对于集群</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宿主机的关键性指标提供历史基线对比</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发现异常越界次数过高时</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及时告知用户</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cs="Songti SC Black" w:eastAsiaTheme="minorEastAsia"/>
                <w:color w:val="000000"/>
                <w:kern w:val="0"/>
                <w:sz w:val="20"/>
                <w:szCs w:val="20"/>
              </w:rPr>
              <w:t>提供虚拟化告警统计报表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宿主机运行率报表</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容量分析报表</w:t>
            </w:r>
            <w:r>
              <w:rPr>
                <w:rFonts w:hint="eastAsia" w:ascii="宋体" w:hAnsi="宋体" w:cs="Microsoft Tai Le" w:eastAsiaTheme="minorEastAsia"/>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000000"/>
                <w:kern w:val="0"/>
                <w:sz w:val="20"/>
                <w:szCs w:val="20"/>
              </w:rPr>
            </w:pPr>
            <w:r>
              <w:rPr>
                <w:rFonts w:hint="eastAsia" w:ascii="宋体" w:hAnsi="宋体" w:eastAsiaTheme="minorEastAsia" w:cstheme="minorBidi"/>
                <w:b/>
                <w:bCs/>
                <w:color w:val="000000"/>
                <w:kern w:val="0"/>
                <w:sz w:val="20"/>
                <w:szCs w:val="20"/>
              </w:rPr>
              <w:t>9</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rPr>
                <w:rFonts w:ascii="宋体" w:hAnsi="宋体" w:cs="Songti SC Black" w:eastAsiaTheme="minorEastAsia"/>
                <w:b/>
                <w:bCs/>
                <w:color w:val="000000"/>
                <w:kern w:val="0"/>
                <w:sz w:val="20"/>
                <w:szCs w:val="20"/>
              </w:rPr>
            </w:pPr>
          </w:p>
          <w:p>
            <w:pPr>
              <w:widowControl/>
              <w:jc w:val="center"/>
              <w:rPr>
                <w:rFonts w:ascii="宋体" w:hAnsi="宋体" w:eastAsiaTheme="minorEastAsia" w:cstheme="minorBidi"/>
                <w:b/>
                <w:bCs/>
                <w:color w:val="000000"/>
                <w:kern w:val="0"/>
                <w:sz w:val="20"/>
                <w:szCs w:val="20"/>
              </w:rPr>
            </w:pPr>
            <w:r>
              <w:rPr>
                <w:rFonts w:hint="eastAsia" w:ascii="宋体" w:hAnsi="宋体" w:cs="Songti SC Black" w:eastAsiaTheme="minorEastAsia"/>
                <w:b/>
                <w:bCs/>
                <w:color w:val="000000"/>
                <w:kern w:val="0"/>
                <w:sz w:val="20"/>
                <w:szCs w:val="20"/>
              </w:rPr>
              <w:t>存储管理</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eastAsiaTheme="minorEastAsia" w:cstheme="minorBidi"/>
                <w:color w:val="000000"/>
                <w:kern w:val="0"/>
                <w:sz w:val="20"/>
                <w:szCs w:val="20"/>
              </w:rPr>
              <w:t>支持存储设备硬件管理，以统一的视图展现被管的各个硬件子项的运行详情，清晰展现各个管理设备的各类型管理状态，并以颜色显著标示出现问题的硬件类型；涉及到磁盘阵列的电源、电池、风扇、温度、磁盘、控制器等各个关键硬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eastAsiaTheme="minorEastAsia" w:cstheme="minorBidi"/>
                <w:color w:val="000000"/>
                <w:kern w:val="0"/>
                <w:sz w:val="20"/>
                <w:szCs w:val="20"/>
              </w:rPr>
              <w:t>支持存储空间使用全局视角，当前所有磁盘阵列设备已经使用空间的统计；当前哪个设备已配置的数据池，有足够的空间可以分给给业务主机使用，列出</w:t>
            </w:r>
            <w:r>
              <w:rPr>
                <w:rFonts w:ascii="宋体" w:hAnsi="宋体" w:eastAsiaTheme="minorEastAsia" w:cstheme="minorBidi"/>
                <w:color w:val="000000"/>
                <w:kern w:val="0"/>
                <w:sz w:val="20"/>
                <w:szCs w:val="20"/>
              </w:rPr>
              <w:t>Pool</w:t>
            </w:r>
            <w:r>
              <w:rPr>
                <w:rFonts w:hint="eastAsia" w:ascii="宋体" w:hAnsi="宋体" w:eastAsiaTheme="minorEastAsia" w:cstheme="minorBidi"/>
                <w:color w:val="000000"/>
                <w:kern w:val="0"/>
                <w:sz w:val="20"/>
                <w:szCs w:val="20"/>
              </w:rPr>
              <w:t>已使用的排行；当前哪个磁盘阵列还有未分配给主机的</w:t>
            </w:r>
            <w:r>
              <w:rPr>
                <w:rFonts w:ascii="宋体" w:hAnsi="宋体" w:eastAsiaTheme="minorEastAsia" w:cstheme="minorBidi"/>
                <w:color w:val="000000"/>
                <w:kern w:val="0"/>
                <w:sz w:val="20"/>
                <w:szCs w:val="20"/>
              </w:rPr>
              <w:t>lun</w:t>
            </w:r>
            <w:r>
              <w:rPr>
                <w:rFonts w:hint="eastAsia" w:ascii="宋体" w:hAnsi="宋体" w:eastAsiaTheme="minorEastAsia" w:cstheme="minorBidi"/>
                <w:color w:val="000000"/>
                <w:kern w:val="0"/>
                <w:sz w:val="20"/>
                <w:szCs w:val="20"/>
              </w:rPr>
              <w:t>信息，便于解决</w:t>
            </w:r>
            <w:r>
              <w:rPr>
                <w:rFonts w:ascii="宋体" w:hAnsi="宋体" w:eastAsiaTheme="minorEastAsia" w:cstheme="minorBidi"/>
                <w:color w:val="000000"/>
                <w:kern w:val="0"/>
                <w:sz w:val="20"/>
                <w:szCs w:val="20"/>
              </w:rPr>
              <w:t>lun</w:t>
            </w:r>
            <w:r>
              <w:rPr>
                <w:rFonts w:hint="eastAsia" w:ascii="宋体" w:hAnsi="宋体" w:eastAsiaTheme="minorEastAsia" w:cstheme="minorBidi"/>
                <w:color w:val="000000"/>
                <w:kern w:val="0"/>
                <w:sz w:val="20"/>
                <w:szCs w:val="20"/>
              </w:rPr>
              <w:t>的浪费问题；提供各个业务主机磁盘使用的增长规律和使用预测，便于事前做好扩容规划；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eastAsiaTheme="minorEastAsia" w:cstheme="minorBidi"/>
                <w:color w:val="000000"/>
                <w:kern w:val="0"/>
                <w:sz w:val="20"/>
                <w:szCs w:val="20"/>
              </w:rPr>
              <w:t>支持存储设备性能管理，提供</w:t>
            </w:r>
            <w:r>
              <w:rPr>
                <w:rFonts w:ascii="宋体" w:hAnsi="宋体" w:eastAsiaTheme="minorEastAsia" w:cstheme="minorBidi"/>
                <w:color w:val="000000"/>
                <w:kern w:val="0"/>
                <w:sz w:val="20"/>
                <w:szCs w:val="20"/>
              </w:rPr>
              <w:t>LUN</w:t>
            </w:r>
            <w:r>
              <w:rPr>
                <w:rFonts w:hint="eastAsia" w:ascii="宋体" w:hAnsi="宋体" w:eastAsiaTheme="minorEastAsia" w:cstheme="minorBidi"/>
                <w:color w:val="000000"/>
                <w:kern w:val="0"/>
                <w:sz w:val="20"/>
                <w:szCs w:val="20"/>
              </w:rPr>
              <w:t>读</w:t>
            </w:r>
            <w:r>
              <w:rPr>
                <w:rFonts w:ascii="宋体" w:hAnsi="宋体" w:eastAsiaTheme="minorEastAsia" w:cstheme="minorBidi"/>
                <w:color w:val="000000"/>
                <w:kern w:val="0"/>
                <w:sz w:val="20"/>
                <w:szCs w:val="20"/>
              </w:rPr>
              <w:t>IOPS TOP</w:t>
            </w:r>
            <w:r>
              <w:rPr>
                <w:rFonts w:hint="eastAsia" w:ascii="宋体" w:hAnsi="宋体" w:eastAsiaTheme="minorEastAsia" w:cstheme="minorBidi"/>
                <w:color w:val="000000"/>
                <w:kern w:val="0"/>
                <w:sz w:val="20"/>
                <w:szCs w:val="20"/>
              </w:rPr>
              <w:t>排行；提供</w:t>
            </w:r>
            <w:r>
              <w:rPr>
                <w:rFonts w:ascii="宋体" w:hAnsi="宋体" w:eastAsiaTheme="minorEastAsia" w:cstheme="minorBidi"/>
                <w:color w:val="000000"/>
                <w:kern w:val="0"/>
                <w:sz w:val="20"/>
                <w:szCs w:val="20"/>
              </w:rPr>
              <w:t>LUN</w:t>
            </w:r>
            <w:r>
              <w:rPr>
                <w:rFonts w:hint="eastAsia" w:ascii="宋体" w:hAnsi="宋体" w:eastAsiaTheme="minorEastAsia" w:cstheme="minorBidi"/>
                <w:color w:val="000000"/>
                <w:kern w:val="0"/>
                <w:sz w:val="20"/>
                <w:szCs w:val="20"/>
              </w:rPr>
              <w:t>写</w:t>
            </w:r>
            <w:r>
              <w:rPr>
                <w:rFonts w:ascii="宋体" w:hAnsi="宋体" w:eastAsiaTheme="minorEastAsia" w:cstheme="minorBidi"/>
                <w:color w:val="000000"/>
                <w:kern w:val="0"/>
                <w:sz w:val="20"/>
                <w:szCs w:val="20"/>
              </w:rPr>
              <w:t>IOPS TOP</w:t>
            </w:r>
            <w:r>
              <w:rPr>
                <w:rFonts w:hint="eastAsia" w:ascii="宋体" w:hAnsi="宋体" w:eastAsiaTheme="minorEastAsia" w:cstheme="minorBidi"/>
                <w:color w:val="000000"/>
                <w:kern w:val="0"/>
                <w:sz w:val="20"/>
                <w:szCs w:val="20"/>
              </w:rPr>
              <w:t>排行；提供</w:t>
            </w:r>
            <w:r>
              <w:rPr>
                <w:rFonts w:ascii="宋体" w:hAnsi="宋体" w:eastAsiaTheme="minorEastAsia" w:cstheme="minorBidi"/>
                <w:color w:val="000000"/>
                <w:kern w:val="0"/>
                <w:sz w:val="20"/>
                <w:szCs w:val="20"/>
              </w:rPr>
              <w:t xml:space="preserve">LUN </w:t>
            </w:r>
            <w:r>
              <w:rPr>
                <w:rFonts w:hint="eastAsia" w:ascii="宋体" w:hAnsi="宋体" w:eastAsiaTheme="minorEastAsia" w:cstheme="minorBidi"/>
                <w:color w:val="000000"/>
                <w:kern w:val="0"/>
                <w:sz w:val="20"/>
                <w:szCs w:val="20"/>
              </w:rPr>
              <w:t>总</w:t>
            </w:r>
            <w:r>
              <w:rPr>
                <w:rFonts w:ascii="宋体" w:hAnsi="宋体" w:eastAsiaTheme="minorEastAsia" w:cstheme="minorBidi"/>
                <w:color w:val="000000"/>
                <w:kern w:val="0"/>
                <w:sz w:val="20"/>
                <w:szCs w:val="20"/>
              </w:rPr>
              <w:t xml:space="preserve"> IOPS TOP </w:t>
            </w:r>
            <w:r>
              <w:rPr>
                <w:rFonts w:hint="eastAsia" w:ascii="宋体" w:hAnsi="宋体" w:eastAsiaTheme="minorEastAsia" w:cstheme="minorBidi"/>
                <w:color w:val="000000"/>
                <w:kern w:val="0"/>
                <w:sz w:val="20"/>
                <w:szCs w:val="20"/>
              </w:rPr>
              <w:t>排行；提供</w:t>
            </w:r>
            <w:r>
              <w:rPr>
                <w:rFonts w:ascii="宋体" w:hAnsi="宋体" w:eastAsiaTheme="minorEastAsia" w:cstheme="minorBidi"/>
                <w:color w:val="000000"/>
                <w:kern w:val="0"/>
                <w:sz w:val="20"/>
                <w:szCs w:val="20"/>
              </w:rPr>
              <w:t>LUN</w:t>
            </w:r>
            <w:r>
              <w:rPr>
                <w:rFonts w:hint="eastAsia" w:ascii="宋体" w:hAnsi="宋体" w:eastAsiaTheme="minorEastAsia" w:cstheme="minorBidi"/>
                <w:color w:val="000000"/>
                <w:kern w:val="0"/>
                <w:sz w:val="20"/>
                <w:szCs w:val="20"/>
              </w:rPr>
              <w:t>的总传输字节数</w:t>
            </w:r>
            <w:r>
              <w:rPr>
                <w:rFonts w:ascii="宋体" w:hAnsi="宋体" w:eastAsiaTheme="minorEastAsia" w:cstheme="minorBidi"/>
                <w:color w:val="000000"/>
                <w:kern w:val="0"/>
                <w:sz w:val="20"/>
                <w:szCs w:val="20"/>
              </w:rPr>
              <w:t xml:space="preserve">TOP </w:t>
            </w:r>
            <w:r>
              <w:rPr>
                <w:rFonts w:hint="eastAsia" w:ascii="宋体" w:hAnsi="宋体" w:eastAsiaTheme="minorEastAsia" w:cstheme="minorBidi"/>
                <w:color w:val="000000"/>
                <w:kern w:val="0"/>
                <w:sz w:val="20"/>
                <w:szCs w:val="20"/>
              </w:rPr>
              <w:t>排行；</w:t>
            </w:r>
            <w:r>
              <w:rPr>
                <w:rFonts w:ascii="宋体" w:hAnsi="宋体" w:eastAsiaTheme="minorEastAsia" w:cstheme="minorBidi"/>
                <w:color w:val="000000"/>
                <w:kern w:val="0"/>
                <w:sz w:val="20"/>
                <w:szCs w:val="20"/>
              </w:rPr>
              <w:t xml:space="preserve"> </w:t>
            </w:r>
            <w:r>
              <w:rPr>
                <w:rFonts w:hint="eastAsia" w:ascii="宋体" w:hAnsi="宋体" w:eastAsiaTheme="minorEastAsia" w:cstheme="minorBidi"/>
                <w:color w:val="000000"/>
                <w:kern w:val="0"/>
                <w:sz w:val="20"/>
                <w:szCs w:val="20"/>
              </w:rPr>
              <w:t>提供按照传输流量的存储线路排行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000000"/>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000000"/>
                <w:kern w:val="0"/>
                <w:sz w:val="20"/>
                <w:szCs w:val="20"/>
              </w:rPr>
            </w:pPr>
            <w:r>
              <w:rPr>
                <w:rFonts w:hint="eastAsia" w:ascii="宋体" w:hAnsi="宋体" w:eastAsiaTheme="minorEastAsia" w:cstheme="minorBidi"/>
                <w:color w:val="000000"/>
                <w:kern w:val="0"/>
                <w:sz w:val="20"/>
                <w:szCs w:val="20"/>
              </w:rPr>
              <w:t>支持对</w:t>
            </w:r>
            <w:r>
              <w:rPr>
                <w:rFonts w:ascii="宋体" w:hAnsi="宋体" w:eastAsiaTheme="minorEastAsia" w:cstheme="minorBidi"/>
                <w:color w:val="000000"/>
                <w:kern w:val="0"/>
                <w:sz w:val="20"/>
                <w:szCs w:val="20"/>
              </w:rPr>
              <w:t>SAN</w:t>
            </w:r>
            <w:r>
              <w:rPr>
                <w:rFonts w:hint="eastAsia" w:ascii="宋体" w:hAnsi="宋体" w:eastAsiaTheme="minorEastAsia" w:cstheme="minorBidi"/>
                <w:color w:val="000000"/>
                <w:kern w:val="0"/>
                <w:sz w:val="20"/>
                <w:szCs w:val="20"/>
              </w:rPr>
              <w:t>网络中磁盘阵列、光纤交换机、</w:t>
            </w:r>
            <w:r>
              <w:rPr>
                <w:rFonts w:ascii="宋体" w:hAnsi="宋体" w:eastAsiaTheme="minorEastAsia" w:cstheme="minorBidi"/>
                <w:color w:val="000000"/>
                <w:kern w:val="0"/>
                <w:sz w:val="20"/>
                <w:szCs w:val="20"/>
              </w:rPr>
              <w:t>HBA</w:t>
            </w:r>
            <w:r>
              <w:rPr>
                <w:rFonts w:hint="eastAsia" w:ascii="宋体" w:hAnsi="宋体" w:eastAsiaTheme="minorEastAsia" w:cstheme="minorBidi"/>
                <w:color w:val="000000"/>
                <w:kern w:val="0"/>
                <w:sz w:val="20"/>
                <w:szCs w:val="20"/>
              </w:rPr>
              <w:t>、线路的监管，支持多厂商存储设备的</w:t>
            </w:r>
            <w:r>
              <w:rPr>
                <w:rFonts w:ascii="宋体" w:hAnsi="宋体" w:eastAsiaTheme="minorEastAsia" w:cstheme="minorBidi"/>
                <w:color w:val="000000"/>
                <w:kern w:val="0"/>
                <w:sz w:val="20"/>
                <w:szCs w:val="20"/>
              </w:rPr>
              <w:t>SAN</w:t>
            </w:r>
            <w:r>
              <w:rPr>
                <w:rFonts w:hint="eastAsia" w:ascii="宋体" w:hAnsi="宋体" w:eastAsiaTheme="minorEastAsia" w:cstheme="minorBidi"/>
                <w:color w:val="000000"/>
                <w:kern w:val="0"/>
                <w:sz w:val="20"/>
                <w:szCs w:val="20"/>
              </w:rPr>
              <w:t>网络异构管理。支持通过</w:t>
            </w:r>
            <w:r>
              <w:rPr>
                <w:rFonts w:ascii="宋体" w:hAnsi="宋体" w:eastAsiaTheme="minorEastAsia" w:cstheme="minorBidi"/>
                <w:color w:val="000000"/>
                <w:kern w:val="0"/>
                <w:sz w:val="20"/>
                <w:szCs w:val="20"/>
              </w:rPr>
              <w:t>SNMP</w:t>
            </w:r>
            <w:r>
              <w:rPr>
                <w:rFonts w:hint="eastAsia" w:ascii="宋体" w:hAnsi="宋体" w:eastAsiaTheme="minorEastAsia" w:cstheme="minorBidi"/>
                <w:color w:val="000000"/>
                <w:kern w:val="0"/>
                <w:sz w:val="20"/>
                <w:szCs w:val="20"/>
              </w:rPr>
              <w:t>或</w:t>
            </w:r>
            <w:r>
              <w:rPr>
                <w:rFonts w:ascii="宋体" w:hAnsi="宋体" w:eastAsiaTheme="minorEastAsia" w:cstheme="minorBidi"/>
                <w:color w:val="000000"/>
                <w:kern w:val="0"/>
                <w:sz w:val="20"/>
                <w:szCs w:val="20"/>
              </w:rPr>
              <w:t>SIM-S</w:t>
            </w:r>
            <w:r>
              <w:rPr>
                <w:rFonts w:hint="eastAsia" w:ascii="宋体" w:hAnsi="宋体" w:eastAsiaTheme="minorEastAsia" w:cstheme="minorBidi"/>
                <w:color w:val="000000"/>
                <w:kern w:val="0"/>
                <w:sz w:val="20"/>
                <w:szCs w:val="20"/>
              </w:rPr>
              <w:t>协议采集磁盘阵列相关指标；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auto"/>
                <w:kern w:val="0"/>
                <w:sz w:val="20"/>
                <w:szCs w:val="20"/>
              </w:rPr>
            </w:pPr>
            <w:r>
              <w:rPr>
                <w:rFonts w:ascii="宋体" w:hAnsi="宋体" w:eastAsiaTheme="minorEastAsia" w:cstheme="minorBidi"/>
                <w:b/>
                <w:bCs/>
                <w:color w:val="auto"/>
                <w:kern w:val="0"/>
                <w:sz w:val="20"/>
                <w:szCs w:val="20"/>
              </w:rPr>
              <w:t>1</w:t>
            </w:r>
            <w:r>
              <w:rPr>
                <w:rFonts w:hint="eastAsia" w:ascii="宋体" w:hAnsi="宋体" w:eastAsiaTheme="minorEastAsia" w:cstheme="minorBidi"/>
                <w:b/>
                <w:bCs/>
                <w:color w:val="auto"/>
                <w:kern w:val="0"/>
                <w:sz w:val="20"/>
                <w:szCs w:val="20"/>
              </w:rPr>
              <w:t>0</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auto"/>
                <w:kern w:val="0"/>
                <w:sz w:val="20"/>
                <w:szCs w:val="20"/>
              </w:rPr>
            </w:pPr>
            <w:r>
              <w:rPr>
                <w:rFonts w:hint="eastAsia" w:ascii="宋体" w:hAnsi="宋体"/>
                <w:color w:val="auto"/>
              </w:rPr>
              <w:t>★</w:t>
            </w:r>
            <w:r>
              <w:rPr>
                <w:rFonts w:hint="eastAsia" w:ascii="宋体" w:hAnsi="宋体" w:eastAsiaTheme="minorEastAsia" w:cstheme="minorBidi"/>
                <w:b/>
                <w:bCs/>
                <w:color w:val="auto"/>
                <w:kern w:val="0"/>
                <w:sz w:val="20"/>
                <w:szCs w:val="20"/>
              </w:rPr>
              <w:t>扩展采集能力</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eastAsiaTheme="minorEastAsia" w:cstheme="minorBidi"/>
                <w:color w:val="auto"/>
                <w:kern w:val="0"/>
                <w:sz w:val="20"/>
                <w:szCs w:val="20"/>
              </w:rPr>
              <w:t>为业务数据流量实时访问管理功能提供数据采集支撑，仅支持netflow、sflow、netstream协议，不支持Dataflow端口镜像采集方式；最大支持10个数据源的采集；必须独立安装于客户提供的单独硬件或虚拟机系统；（软件必须有此功能，方便后期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eastAsiaTheme="minorEastAsia" w:cstheme="minorBidi"/>
                <w:color w:val="auto"/>
                <w:kern w:val="0"/>
                <w:sz w:val="20"/>
                <w:szCs w:val="20"/>
              </w:rPr>
              <w:t>为业务数据流量实时访问管理功能提供数据采集支撑，支持4个千兆采集网口；支持Dataflow端口镜像采集方式，最大处理流量1Gbps；支持Netflow\Netstream\sflow协议；最大支持10个数据源的采集；（软件必须有此功能，方便后期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eastAsiaTheme="minorEastAsia" w:cstheme="minorBidi"/>
                <w:color w:val="auto"/>
                <w:kern w:val="0"/>
                <w:sz w:val="20"/>
                <w:szCs w:val="20"/>
              </w:rPr>
              <w:t>为业务数据流量实时访问管理功能提供数据采集支撑，8支持4个千兆+4个百兆采集网口；支持Dataflow端口镜像采集方式，最大处理流量4.4Gbps；支持Netflow\Netstream\sflow协议；最大支持30个数据源的采集；（软件必须有此功能，方便后期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eastAsiaTheme="minorEastAsia" w:cstheme="minorBidi"/>
                <w:color w:val="auto"/>
                <w:kern w:val="0"/>
                <w:sz w:val="20"/>
                <w:szCs w:val="20"/>
              </w:rPr>
              <w:t>提供http协议RESTful API(REST风格的网络接口），为应用软件外部系统提供数据读取服务。应用软件可以基于本通道以及配套的数据约定，定制管理界面和功能（软件必须有此功能，方便后期多系统对接的可能）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auto"/>
                <w:kern w:val="0"/>
                <w:sz w:val="20"/>
                <w:szCs w:val="20"/>
              </w:rPr>
            </w:pPr>
            <w:r>
              <w:rPr>
                <w:rFonts w:ascii="宋体" w:hAnsi="宋体" w:eastAsiaTheme="minorEastAsia" w:cstheme="minorBidi"/>
                <w:b/>
                <w:bCs/>
                <w:color w:val="auto"/>
                <w:kern w:val="0"/>
                <w:sz w:val="20"/>
                <w:szCs w:val="20"/>
              </w:rPr>
              <w:t>1</w:t>
            </w:r>
            <w:r>
              <w:rPr>
                <w:rFonts w:hint="eastAsia" w:ascii="宋体" w:hAnsi="宋体" w:eastAsiaTheme="minorEastAsia" w:cstheme="minorBidi"/>
                <w:b/>
                <w:bCs/>
                <w:color w:val="auto"/>
                <w:kern w:val="0"/>
                <w:sz w:val="20"/>
                <w:szCs w:val="20"/>
              </w:rPr>
              <w:t>1</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Songti SC Black" w:eastAsiaTheme="minorEastAsia"/>
                <w:b/>
                <w:bCs/>
                <w:color w:val="auto"/>
                <w:kern w:val="0"/>
                <w:sz w:val="20"/>
                <w:szCs w:val="20"/>
              </w:rPr>
            </w:pPr>
          </w:p>
          <w:p>
            <w:pPr>
              <w:widowControl/>
              <w:jc w:val="center"/>
              <w:rPr>
                <w:rFonts w:ascii="宋体" w:hAnsi="宋体" w:eastAsiaTheme="minorEastAsia" w:cstheme="minorBidi"/>
                <w:b/>
                <w:bCs/>
                <w:color w:val="auto"/>
                <w:kern w:val="0"/>
                <w:sz w:val="20"/>
                <w:szCs w:val="20"/>
              </w:rPr>
            </w:pPr>
            <w:r>
              <w:rPr>
                <w:rFonts w:hint="eastAsia" w:ascii="宋体" w:hAnsi="宋体"/>
                <w:color w:val="auto"/>
              </w:rPr>
              <w:t>★</w:t>
            </w:r>
            <w:r>
              <w:rPr>
                <w:rFonts w:hint="eastAsia" w:ascii="宋体" w:hAnsi="宋体" w:cs="Songti SC Black" w:eastAsiaTheme="minorEastAsia"/>
                <w:b/>
                <w:bCs/>
                <w:color w:val="auto"/>
                <w:kern w:val="0"/>
                <w:sz w:val="20"/>
                <w:szCs w:val="20"/>
              </w:rPr>
              <w:t>物联技术支持扩展</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提供</w:t>
            </w:r>
            <w:r>
              <w:rPr>
                <w:rFonts w:ascii="宋体" w:hAnsi="宋体" w:eastAsiaTheme="minorEastAsia" w:cstheme="minorBidi"/>
                <w:color w:val="auto"/>
                <w:kern w:val="0"/>
                <w:sz w:val="20"/>
                <w:szCs w:val="20"/>
              </w:rPr>
              <w:t>RFID</w:t>
            </w:r>
            <w:r>
              <w:rPr>
                <w:rFonts w:hint="eastAsia" w:ascii="宋体" w:hAnsi="宋体" w:cs="Songti SC Black" w:eastAsiaTheme="minorEastAsia"/>
                <w:color w:val="auto"/>
                <w:kern w:val="0"/>
                <w:sz w:val="20"/>
                <w:szCs w:val="20"/>
              </w:rPr>
              <w:t>标签管理功能</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建立</w:t>
            </w:r>
            <w:r>
              <w:rPr>
                <w:rFonts w:ascii="宋体" w:hAnsi="宋体" w:eastAsiaTheme="minorEastAsia" w:cstheme="minorBidi"/>
                <w:color w:val="auto"/>
                <w:kern w:val="0"/>
                <w:sz w:val="20"/>
                <w:szCs w:val="20"/>
              </w:rPr>
              <w:t>RFID</w:t>
            </w:r>
            <w:r>
              <w:rPr>
                <w:rFonts w:hint="eastAsia" w:ascii="宋体" w:hAnsi="宋体" w:cs="Songti SC Black" w:eastAsiaTheme="minorEastAsia"/>
                <w:color w:val="auto"/>
                <w:kern w:val="0"/>
                <w:sz w:val="20"/>
                <w:szCs w:val="20"/>
              </w:rPr>
              <w:t>标签与被管对象</w:t>
            </w:r>
            <w:r>
              <w:rPr>
                <w:rFonts w:ascii="宋体" w:hAnsi="宋体" w:eastAsiaTheme="minorEastAsia" w:cstheme="minorBidi"/>
                <w:color w:val="auto"/>
                <w:kern w:val="0"/>
                <w:sz w:val="20"/>
                <w:szCs w:val="20"/>
              </w:rPr>
              <w:t>IP</w:t>
            </w:r>
            <w:r>
              <w:rPr>
                <w:rFonts w:hint="eastAsia" w:ascii="宋体" w:hAnsi="宋体" w:cs="Songti SC Black" w:eastAsiaTheme="minorEastAsia"/>
                <w:color w:val="auto"/>
                <w:kern w:val="0"/>
                <w:sz w:val="20"/>
                <w:szCs w:val="20"/>
              </w:rPr>
              <w:t>地址的对应关系</w:t>
            </w:r>
            <w:r>
              <w:rPr>
                <w:rFonts w:hint="eastAsia" w:ascii="宋体" w:hAnsi="宋体" w:cs="Microsoft Tai Le" w:eastAsiaTheme="minorEastAsia"/>
                <w:color w:val="auto"/>
                <w:kern w:val="0"/>
                <w:sz w:val="20"/>
                <w:szCs w:val="20"/>
              </w:rPr>
              <w:t>；（须有此功能，方便后期扩容）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通过</w:t>
            </w:r>
            <w:r>
              <w:rPr>
                <w:rFonts w:ascii="宋体" w:hAnsi="宋体" w:eastAsiaTheme="minorEastAsia" w:cstheme="minorBidi"/>
                <w:color w:val="auto"/>
                <w:kern w:val="0"/>
                <w:sz w:val="20"/>
                <w:szCs w:val="20"/>
              </w:rPr>
              <w:t>RFID</w:t>
            </w:r>
            <w:r>
              <w:rPr>
                <w:rFonts w:hint="eastAsia" w:ascii="宋体" w:hAnsi="宋体" w:cs="Songti SC Black" w:eastAsiaTheme="minorEastAsia"/>
                <w:color w:val="auto"/>
                <w:kern w:val="0"/>
                <w:sz w:val="20"/>
                <w:szCs w:val="20"/>
              </w:rPr>
              <w:t>直接定位设备信息</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直接了解设备运行信息</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性能数据和管理信息</w:t>
            </w:r>
            <w:r>
              <w:rPr>
                <w:rFonts w:hint="eastAsia" w:ascii="宋体" w:hAnsi="宋体" w:cs="Microsoft Tai Le" w:eastAsiaTheme="minorEastAsia"/>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ascii="宋体" w:hAnsi="宋体" w:eastAsiaTheme="minorEastAsia" w:cstheme="minorBidi"/>
                <w:color w:val="auto"/>
                <w:kern w:val="0"/>
                <w:sz w:val="20"/>
                <w:szCs w:val="20"/>
              </w:rPr>
              <w:t>RFID</w:t>
            </w:r>
            <w:r>
              <w:rPr>
                <w:rFonts w:hint="eastAsia" w:ascii="宋体" w:hAnsi="宋体" w:cs="Songti SC Black" w:eastAsiaTheme="minorEastAsia"/>
                <w:color w:val="auto"/>
                <w:kern w:val="0"/>
                <w:sz w:val="20"/>
                <w:szCs w:val="20"/>
              </w:rPr>
              <w:t>设备轻便</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所有操作均支持单手操作</w:t>
            </w:r>
            <w:r>
              <w:rPr>
                <w:rFonts w:hint="eastAsia" w:ascii="宋体" w:hAnsi="宋体" w:cs="Microsoft Tai Le" w:eastAsiaTheme="minorEastAsia"/>
                <w:color w:val="auto"/>
                <w:kern w:val="0"/>
                <w:sz w:val="20"/>
                <w:szCs w:val="20"/>
              </w:rPr>
              <w:t>；（须有此功能，方便后期扩容）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管理数据支持在线升级模式</w:t>
            </w:r>
            <w:r>
              <w:rPr>
                <w:rFonts w:hint="eastAsia" w:ascii="宋体" w:hAnsi="宋体" w:cs="Microsoft Tai Le" w:eastAsiaTheme="minorEastAsia"/>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color w:val="auto"/>
                <w:kern w:val="0"/>
                <w:sz w:val="20"/>
                <w:szCs w:val="20"/>
              </w:rPr>
            </w:pPr>
            <w:r>
              <w:rPr>
                <w:rFonts w:ascii="宋体" w:hAnsi="宋体" w:eastAsiaTheme="minorEastAsia" w:cstheme="minorBidi"/>
                <w:color w:val="auto"/>
                <w:kern w:val="0"/>
                <w:sz w:val="20"/>
                <w:szCs w:val="20"/>
              </w:rPr>
              <w:t>1</w:t>
            </w:r>
            <w:r>
              <w:rPr>
                <w:rFonts w:hint="eastAsia" w:ascii="宋体" w:hAnsi="宋体" w:eastAsiaTheme="minorEastAsia" w:cstheme="minorBidi"/>
                <w:color w:val="auto"/>
                <w:kern w:val="0"/>
                <w:sz w:val="20"/>
                <w:szCs w:val="20"/>
              </w:rPr>
              <w:t>2</w:t>
            </w:r>
            <w:r>
              <w:rPr>
                <w:rFonts w:ascii="宋体" w:hAnsi="宋体" w:eastAsiaTheme="minorEastAsia" w:cstheme="minorBidi"/>
                <w:color w:val="auto"/>
                <w:kern w:val="0"/>
                <w:sz w:val="20"/>
                <w:szCs w:val="20"/>
              </w:rPr>
              <w:t xml:space="preserve"> </w:t>
            </w:r>
          </w:p>
        </w:tc>
        <w:tc>
          <w:tcPr>
            <w:tcW w:w="12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auto"/>
                <w:kern w:val="0"/>
                <w:sz w:val="20"/>
                <w:szCs w:val="20"/>
              </w:rPr>
            </w:pPr>
            <w:r>
              <w:rPr>
                <w:rFonts w:hint="eastAsia" w:ascii="宋体" w:hAnsi="宋体" w:cs="Songti SC Black" w:eastAsiaTheme="minorEastAsia"/>
                <w:b/>
                <w:bCs/>
                <w:color w:val="auto"/>
                <w:kern w:val="0"/>
                <w:sz w:val="20"/>
                <w:szCs w:val="20"/>
              </w:rPr>
              <w:t>售后服务</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提供原厂商售后服务承诺函</w:t>
            </w:r>
            <w:r>
              <w:rPr>
                <w:rFonts w:ascii="宋体" w:hAnsi="宋体" w:eastAsiaTheme="minorEastAsia" w:cstheme="minorBidi"/>
                <w:color w:val="auto"/>
                <w:kern w:val="0"/>
                <w:sz w:val="20"/>
                <w:szCs w:val="20"/>
              </w:rPr>
              <w:t xml:space="preserve">, </w:t>
            </w:r>
            <w:r>
              <w:rPr>
                <w:rFonts w:hint="eastAsia" w:ascii="宋体" w:hAnsi="宋体" w:cs="Songti SC Black" w:eastAsiaTheme="minorEastAsia"/>
                <w:color w:val="auto"/>
                <w:kern w:val="0"/>
                <w:sz w:val="20"/>
                <w:szCs w:val="20"/>
              </w:rPr>
              <w:t>要求提供原厂商本省常驻人员2小时内上门服务</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服务期内提供产品免费上门</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提供</w:t>
            </w:r>
            <w:r>
              <w:rPr>
                <w:rFonts w:ascii="宋体" w:hAnsi="宋体" w:eastAsiaTheme="minorEastAsia" w:cstheme="minorBidi"/>
                <w:color w:val="auto"/>
                <w:kern w:val="0"/>
                <w:sz w:val="20"/>
                <w:szCs w:val="20"/>
              </w:rPr>
              <w:t>7*24</w:t>
            </w:r>
            <w:r>
              <w:rPr>
                <w:rFonts w:hint="eastAsia" w:ascii="宋体" w:hAnsi="宋体" w:cs="Songti SC Black" w:eastAsiaTheme="minorEastAsia"/>
                <w:color w:val="auto"/>
                <w:kern w:val="0"/>
                <w:sz w:val="20"/>
                <w:szCs w:val="20"/>
              </w:rPr>
              <w:t>小时的项目专项电话技术支持</w:t>
            </w:r>
            <w:r>
              <w:rPr>
                <w:rFonts w:hint="eastAsia" w:ascii="宋体" w:hAnsi="宋体" w:cs="Microsoft Tai Le" w:eastAsiaTheme="minorEastAsia"/>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7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color w:val="auto"/>
                <w:kern w:val="0"/>
                <w:sz w:val="20"/>
                <w:szCs w:val="20"/>
              </w:rPr>
            </w:pPr>
            <w:r>
              <w:rPr>
                <w:rFonts w:ascii="宋体" w:hAnsi="宋体" w:eastAsiaTheme="minorEastAsia" w:cstheme="minorBidi"/>
                <w:color w:val="auto"/>
                <w:kern w:val="0"/>
                <w:sz w:val="20"/>
                <w:szCs w:val="20"/>
              </w:rPr>
              <w:t>1</w:t>
            </w:r>
            <w:r>
              <w:rPr>
                <w:rFonts w:hint="eastAsia" w:ascii="宋体" w:hAnsi="宋体" w:eastAsiaTheme="minorEastAsia" w:cstheme="minorBidi"/>
                <w:color w:val="auto"/>
                <w:kern w:val="0"/>
                <w:sz w:val="20"/>
                <w:szCs w:val="20"/>
              </w:rPr>
              <w:t>3</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Theme="minorEastAsia" w:cstheme="minorBidi"/>
                <w:b/>
                <w:bCs/>
                <w:color w:val="auto"/>
                <w:kern w:val="0"/>
                <w:sz w:val="20"/>
                <w:szCs w:val="20"/>
              </w:rPr>
            </w:pPr>
            <w:r>
              <w:rPr>
                <w:rFonts w:hint="eastAsia" w:ascii="宋体" w:hAnsi="宋体" w:cs="Songti SC Black" w:eastAsiaTheme="minorEastAsia"/>
                <w:b/>
                <w:bCs/>
                <w:color w:val="auto"/>
                <w:kern w:val="0"/>
                <w:sz w:val="20"/>
                <w:szCs w:val="20"/>
              </w:rPr>
              <w:t>产品原厂商要求</w:t>
            </w: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完全国产自主品牌且须提供产品的软件著作权证书</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须是原始取得</w:t>
            </w:r>
            <w:r>
              <w:rPr>
                <w:rFonts w:hint="eastAsia" w:ascii="宋体" w:hAnsi="宋体" w:cs="Microsoft Tai Le" w:eastAsiaTheme="minorEastAsia"/>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原厂商在中国境内注册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Songti SC Black" w:eastAsiaTheme="minorEastAsia"/>
                <w:color w:val="auto"/>
                <w:kern w:val="0"/>
                <w:sz w:val="20"/>
                <w:szCs w:val="20"/>
              </w:rPr>
            </w:pPr>
            <w:r>
              <w:rPr>
                <w:rFonts w:hint="eastAsia" w:ascii="宋体" w:hAnsi="宋体" w:cs="Songti SC Black" w:eastAsiaTheme="minorEastAsia"/>
                <w:color w:val="auto"/>
                <w:kern w:val="0"/>
                <w:sz w:val="20"/>
                <w:szCs w:val="20"/>
              </w:rPr>
              <w:t>原厂商通过</w:t>
            </w:r>
            <w:r>
              <w:rPr>
                <w:rFonts w:ascii="宋体" w:hAnsi="宋体" w:cs="Songti SC Black" w:eastAsiaTheme="minorEastAsia"/>
                <w:color w:val="auto"/>
                <w:kern w:val="0"/>
                <w:sz w:val="20"/>
                <w:szCs w:val="20"/>
              </w:rPr>
              <w:t>CMMI</w:t>
            </w:r>
            <w:r>
              <w:rPr>
                <w:rFonts w:hint="eastAsia" w:ascii="宋体" w:hAnsi="宋体" w:cs="Songti SC Black" w:eastAsiaTheme="minorEastAsia"/>
                <w:color w:val="auto"/>
                <w:kern w:val="0"/>
                <w:sz w:val="20"/>
                <w:szCs w:val="20"/>
              </w:rPr>
              <w:t>4及以上认证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软件原厂商须在南京设有分支机构</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含办事处</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须原厂商出示盖章的证明文件</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服务人员</w:t>
            </w:r>
            <w:r>
              <w:rPr>
                <w:rFonts w:ascii="宋体" w:hAnsi="宋体" w:eastAsiaTheme="minorEastAsia" w:cstheme="minorBidi"/>
                <w:color w:val="auto"/>
                <w:kern w:val="0"/>
                <w:sz w:val="20"/>
                <w:szCs w:val="20"/>
              </w:rPr>
              <w:t>5</w:t>
            </w:r>
            <w:r>
              <w:rPr>
                <w:rFonts w:hint="eastAsia" w:ascii="宋体" w:hAnsi="宋体" w:cs="Songti SC Black" w:eastAsiaTheme="minorEastAsia"/>
                <w:color w:val="auto"/>
                <w:kern w:val="0"/>
                <w:sz w:val="20"/>
                <w:szCs w:val="20"/>
              </w:rPr>
              <w:t>人以上</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盖章的证明文件中应写明常驻办公地点及服务人员名单</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联系方式</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并保证对本项目的实施及售后均为原厂服务</w:t>
            </w:r>
            <w:r>
              <w:rPr>
                <w:rFonts w:hint="eastAsia" w:ascii="宋体" w:hAnsi="宋体" w:cs="Microsoft Tai Le" w:eastAsiaTheme="minorEastAsia"/>
                <w:color w:val="auto"/>
                <w:kern w:val="0"/>
                <w:sz w:val="20"/>
                <w:szCs w:val="20"/>
              </w:rPr>
              <w:t>，</w:t>
            </w:r>
            <w:r>
              <w:rPr>
                <w:rFonts w:hint="eastAsia" w:ascii="宋体" w:hAnsi="宋体" w:cs="Songti SC Black" w:eastAsiaTheme="minorEastAsia"/>
                <w:color w:val="auto"/>
                <w:kern w:val="0"/>
                <w:sz w:val="20"/>
                <w:szCs w:val="20"/>
              </w:rPr>
              <w:t>不得转让予第三方</w:t>
            </w:r>
            <w:r>
              <w:rPr>
                <w:rFonts w:hint="eastAsia" w:ascii="宋体" w:hAnsi="宋体" w:cs="Microsoft Tai Le" w:eastAsiaTheme="minorEastAsia"/>
                <w:color w:val="auto"/>
                <w:kern w:val="0"/>
                <w:sz w:val="20"/>
                <w:szCs w:val="20"/>
              </w:rPr>
              <w:t>；出具原厂商人员社保证明。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trPr>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b/>
                <w:bCs/>
                <w:color w:val="auto"/>
                <w:kern w:val="0"/>
                <w:sz w:val="20"/>
                <w:szCs w:val="20"/>
              </w:rPr>
            </w:pPr>
          </w:p>
        </w:tc>
        <w:tc>
          <w:tcPr>
            <w:tcW w:w="795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Theme="minorEastAsia" w:cstheme="minorBidi"/>
                <w:color w:val="auto"/>
                <w:kern w:val="0"/>
                <w:sz w:val="20"/>
                <w:szCs w:val="20"/>
              </w:rPr>
            </w:pPr>
            <w:r>
              <w:rPr>
                <w:rFonts w:hint="eastAsia" w:ascii="宋体" w:hAnsi="宋体" w:cs="Songti SC Black" w:eastAsiaTheme="minorEastAsia"/>
                <w:color w:val="auto"/>
                <w:kern w:val="0"/>
                <w:sz w:val="20"/>
                <w:szCs w:val="20"/>
              </w:rPr>
              <w:t>原厂商针对本项目的授权书，和为期一年的服务承诺函</w:t>
            </w:r>
          </w:p>
        </w:tc>
      </w:tr>
    </w:tbl>
    <w:p>
      <w:pPr>
        <w:pStyle w:val="61"/>
        <w:spacing w:line="360" w:lineRule="auto"/>
        <w:ind w:left="1572" w:firstLine="0" w:firstLineChars="0"/>
        <w:rPr>
          <w:rFonts w:cs="Arial" w:asciiTheme="minorEastAsia" w:hAnsiTheme="minorEastAsia" w:eastAsiaTheme="minorEastAsia"/>
          <w:color w:val="auto"/>
          <w:sz w:val="28"/>
          <w:szCs w:val="28"/>
        </w:rPr>
      </w:pPr>
    </w:p>
    <w:p>
      <w:pPr>
        <w:pStyle w:val="2"/>
        <w:numPr>
          <w:ilvl w:val="0"/>
          <w:numId w:val="11"/>
        </w:numPr>
        <w:spacing w:before="0" w:after="0" w:line="360" w:lineRule="exact"/>
        <w:ind w:left="842"/>
        <w:rPr>
          <w:rFonts w:ascii="新宋体" w:hAnsi="新宋体" w:eastAsia="新宋体"/>
          <w:b/>
          <w:bCs w:val="0"/>
          <w:color w:val="auto"/>
          <w:sz w:val="28"/>
          <w:szCs w:val="28"/>
        </w:rPr>
      </w:pPr>
      <w:bookmarkStart w:id="140" w:name="_Toc3215854"/>
      <w:r>
        <w:rPr>
          <w:rFonts w:hint="eastAsia" w:ascii="新宋体" w:hAnsi="新宋体" w:eastAsia="新宋体"/>
          <w:b/>
          <w:bCs w:val="0"/>
          <w:color w:val="auto"/>
          <w:sz w:val="28"/>
          <w:szCs w:val="28"/>
        </w:rPr>
        <w:t>北塔智慧运维</w:t>
      </w:r>
      <w:r>
        <w:rPr>
          <w:rFonts w:ascii="新宋体" w:hAnsi="新宋体" w:eastAsia="新宋体"/>
          <w:b/>
          <w:bCs w:val="0"/>
          <w:color w:val="auto"/>
          <w:sz w:val="28"/>
          <w:szCs w:val="28"/>
        </w:rPr>
        <w:t>管理平台</w:t>
      </w:r>
      <w:r>
        <w:rPr>
          <w:rFonts w:hint="eastAsia" w:ascii="新宋体" w:hAnsi="新宋体" w:eastAsia="新宋体"/>
          <w:b/>
          <w:bCs w:val="0"/>
          <w:color w:val="auto"/>
          <w:sz w:val="28"/>
          <w:szCs w:val="28"/>
        </w:rPr>
        <w:t>采购与集成服务报价</w:t>
      </w:r>
      <w:r>
        <w:rPr>
          <w:rFonts w:ascii="新宋体" w:hAnsi="新宋体" w:eastAsia="新宋体"/>
          <w:b/>
          <w:bCs w:val="0"/>
          <w:color w:val="auto"/>
          <w:sz w:val="28"/>
          <w:szCs w:val="28"/>
        </w:rPr>
        <w:t>清单</w:t>
      </w:r>
      <w:bookmarkEnd w:id="140"/>
    </w:p>
    <w:p/>
    <w:p/>
    <w:tbl>
      <w:tblPr>
        <w:tblStyle w:val="34"/>
        <w:tblW w:w="9215" w:type="dxa"/>
        <w:tblInd w:w="0" w:type="dxa"/>
        <w:tblLayout w:type="fixed"/>
        <w:tblCellMar>
          <w:top w:w="15" w:type="dxa"/>
          <w:left w:w="15" w:type="dxa"/>
          <w:bottom w:w="15" w:type="dxa"/>
          <w:right w:w="15" w:type="dxa"/>
        </w:tblCellMar>
      </w:tblPr>
      <w:tblGrid>
        <w:gridCol w:w="357"/>
        <w:gridCol w:w="552"/>
        <w:gridCol w:w="1331"/>
        <w:gridCol w:w="2475"/>
        <w:gridCol w:w="1217"/>
        <w:gridCol w:w="1230"/>
        <w:gridCol w:w="633"/>
        <w:gridCol w:w="1420"/>
      </w:tblGrid>
      <w:tr>
        <w:tblPrEx>
          <w:tblLayout w:type="fixed"/>
          <w:tblCellMar>
            <w:top w:w="15" w:type="dxa"/>
            <w:left w:w="15" w:type="dxa"/>
            <w:bottom w:w="15" w:type="dxa"/>
            <w:right w:w="15" w:type="dxa"/>
          </w:tblCellMar>
        </w:tblPrEx>
        <w:trPr>
          <w:trHeight w:val="375" w:hRule="atLeast"/>
        </w:trPr>
        <w:tc>
          <w:tcPr>
            <w:tcW w:w="9215" w:type="dxa"/>
            <w:gridSpan w:val="8"/>
            <w:tcBorders>
              <w:top w:val="single" w:color="000000" w:sz="12" w:space="0"/>
              <w:left w:val="single" w:color="000000" w:sz="12" w:space="0"/>
              <w:bottom w:val="single" w:color="000000" w:sz="4" w:space="0"/>
              <w:right w:val="single" w:color="000000" w:sz="12" w:space="0"/>
            </w:tcBorders>
            <w:shd w:val="clear" w:color="008080" w:fill="B4C6E7"/>
            <w:vAlign w:val="center"/>
          </w:tcPr>
          <w:p>
            <w:pPr>
              <w:widowControl/>
              <w:jc w:val="left"/>
              <w:textAlignment w:val="center"/>
              <w:rPr>
                <w:rFonts w:ascii="宋体" w:hAnsi="宋体" w:cs="宋体"/>
                <w:b/>
                <w:color w:val="000000"/>
                <w:sz w:val="28"/>
                <w:szCs w:val="28"/>
              </w:rPr>
            </w:pPr>
            <w:r>
              <w:rPr>
                <w:rFonts w:hint="eastAsia" w:ascii="宋体" w:hAnsi="宋体" w:cs="宋体"/>
                <w:b/>
                <w:color w:val="000000"/>
                <w:kern w:val="0"/>
                <w:sz w:val="28"/>
                <w:szCs w:val="28"/>
                <w:lang w:bidi="ar"/>
              </w:rPr>
              <w:t xml:space="preserve">1、BTDP 北塔数据服务平台软件 </w:t>
            </w:r>
          </w:p>
        </w:tc>
      </w:tr>
      <w:tr>
        <w:tblPrEx>
          <w:tblLayout w:type="fixed"/>
          <w:tblCellMar>
            <w:top w:w="15" w:type="dxa"/>
            <w:left w:w="15" w:type="dxa"/>
            <w:bottom w:w="15" w:type="dxa"/>
            <w:right w:w="15" w:type="dxa"/>
          </w:tblCellMar>
        </w:tblPrEx>
        <w:trPr>
          <w:trHeight w:val="286"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55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模块分类</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模块名称</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说明</w:t>
            </w:r>
          </w:p>
        </w:tc>
        <w:tc>
          <w:tcPr>
            <w:tcW w:w="1217"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限制与说明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单价（元）</w:t>
            </w:r>
          </w:p>
        </w:tc>
        <w:tc>
          <w:tcPr>
            <w:tcW w:w="633"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数量</w:t>
            </w:r>
          </w:p>
        </w:tc>
        <w:tc>
          <w:tcPr>
            <w:tcW w:w="1420" w:type="dxa"/>
            <w:tcBorders>
              <w:top w:val="single" w:color="000000" w:sz="4" w:space="0"/>
              <w:left w:val="single" w:color="000000" w:sz="4" w:space="0"/>
              <w:bottom w:val="single" w:color="000000" w:sz="4" w:space="0"/>
              <w:right w:val="single" w:color="000000" w:sz="12"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计价（元）</w:t>
            </w:r>
          </w:p>
        </w:tc>
      </w:tr>
      <w:tr>
        <w:tblPrEx>
          <w:tblLayout w:type="fixed"/>
          <w:tblCellMar>
            <w:top w:w="15" w:type="dxa"/>
            <w:left w:w="15" w:type="dxa"/>
            <w:bottom w:w="15" w:type="dxa"/>
            <w:right w:w="15" w:type="dxa"/>
          </w:tblCellMar>
        </w:tblPrEx>
        <w:trPr>
          <w:trHeight w:val="2041"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基础平台</w:t>
            </w: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windows基础版本</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基于部署在"Windows"操作系统，实现各管理对象监控模型的管理，并实现采集数据的过滤、存储、查询功能。提供对采集指标进行实时阈值功能，提供性能数据1年的存储和接口查询能力。提供基于规则的单阈值告警检测和过滤功能。包含1个采集器，最大支持1000节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bottom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CE4D6"/>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420" w:type="dxa"/>
            <w:tcBorders>
              <w:top w:val="single" w:color="000000" w:sz="4" w:space="0"/>
              <w:bottom w:val="single" w:color="000000" w:sz="4" w:space="0"/>
              <w:right w:val="single" w:color="000000" w:sz="12"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w:t>
            </w:r>
          </w:p>
        </w:tc>
      </w:tr>
      <w:tr>
        <w:tblPrEx>
          <w:tblLayout w:type="fixed"/>
          <w:tblCellMar>
            <w:top w:w="15" w:type="dxa"/>
            <w:left w:w="15" w:type="dxa"/>
            <w:bottom w:w="15" w:type="dxa"/>
            <w:right w:w="15" w:type="dxa"/>
          </w:tblCellMar>
        </w:tblPrEx>
        <w:trPr>
          <w:trHeight w:val="1155"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52" w:type="dxa"/>
            <w:vMerge w:val="restart"/>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扩展节点</w:t>
            </w: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基础资源节点授权（25节点包）</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包含网络设备（包含无线AC）、操作系统、数据库、Oracle-rac（clusterware)、中间件、标准应用、虚拟化宿主机、动环设备（具有IP网管能力）的节点授权。支持25个上述任一种节点的数据采集管理。</w:t>
            </w:r>
          </w:p>
        </w:tc>
        <w:tc>
          <w:tcPr>
            <w:tcW w:w="1217" w:type="dxa"/>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FF0000"/>
                <w:sz w:val="22"/>
                <w:szCs w:val="22"/>
              </w:rPr>
            </w:pPr>
          </w:p>
        </w:tc>
        <w:tc>
          <w:tcPr>
            <w:tcW w:w="1230" w:type="dxa"/>
            <w:tcBorders>
              <w:top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right w:val="single" w:color="000000" w:sz="4" w:space="0"/>
            </w:tcBorders>
            <w:shd w:val="clear" w:color="auto" w:fill="FCE4D6"/>
            <w:vAlign w:val="center"/>
          </w:tcPr>
          <w:p>
            <w:pPr>
              <w:widowControl/>
              <w:jc w:val="left"/>
              <w:textAlignment w:val="center"/>
              <w:rPr>
                <w:rFonts w:ascii="宋体" w:hAnsi="宋体" w:cs="宋体"/>
                <w:color w:val="000000"/>
                <w:sz w:val="22"/>
                <w:szCs w:val="22"/>
              </w:rPr>
            </w:pPr>
          </w:p>
        </w:tc>
        <w:tc>
          <w:tcPr>
            <w:tcW w:w="1420" w:type="dxa"/>
            <w:tcBorders>
              <w:top w:val="single" w:color="000000" w:sz="4" w:space="0"/>
              <w:right w:val="single" w:color="000000" w:sz="12"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690"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52"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IP示意节点授权（50节点包）</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提供IP示意节点授权。支持50个上述节点的数据采集管理。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r>
      <w:tr>
        <w:tblPrEx>
          <w:tblLayout w:type="fixed"/>
          <w:tblCellMar>
            <w:top w:w="15" w:type="dxa"/>
            <w:left w:w="15" w:type="dxa"/>
            <w:bottom w:w="15" w:type="dxa"/>
            <w:right w:w="15" w:type="dxa"/>
          </w:tblCellMar>
        </w:tblPrEx>
        <w:trPr>
          <w:trHeight w:val="720"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4</w:t>
            </w:r>
          </w:p>
        </w:tc>
        <w:tc>
          <w:tcPr>
            <w:tcW w:w="552"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服务器硬件节点授权（50节点包）</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提供IPMI采集的服务器硬件监控节点授权。支持50个上述节点的数据采集管理。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750"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5</w:t>
            </w:r>
          </w:p>
        </w:tc>
        <w:tc>
          <w:tcPr>
            <w:tcW w:w="552"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虚拟机节点授权（50节点包）</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Style w:val="72"/>
                <w:rFonts w:hint="default"/>
                <w:lang w:bidi="ar"/>
              </w:rPr>
              <w:t>包含对vsphere、XenServer、kvm虚拟化中虚拟机的统一授权，支持50个上述节点的数据采集管理。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center"/>
              <w:textAlignment w:val="center"/>
              <w:rPr>
                <w:rFonts w:ascii="等线" w:hAnsi="等线" w:eastAsia="等线" w:cs="等线"/>
                <w:color w:val="9C0006"/>
                <w:sz w:val="20"/>
                <w:szCs w:val="20"/>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810"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6</w:t>
            </w:r>
          </w:p>
        </w:tc>
        <w:tc>
          <w:tcPr>
            <w:tcW w:w="552"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存储设备节点授权（5节点包）</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包含对磁盘阵列、光纤交换机、磁带库的统一授权，支持5个上述节点的数据采集管理。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435" w:hRule="atLeast"/>
        </w:trPr>
        <w:tc>
          <w:tcPr>
            <w:tcW w:w="7162" w:type="dxa"/>
            <w:gridSpan w:val="6"/>
            <w:tcBorders>
              <w:top w:val="single" w:color="000000" w:sz="4" w:space="0"/>
              <w:left w:val="single" w:color="000000" w:sz="4" w:space="0"/>
              <w:bottom w:val="single" w:color="000000" w:sz="4" w:space="0"/>
              <w:right w:val="single" w:color="000000" w:sz="4" w:space="0"/>
            </w:tcBorders>
            <w:shd w:val="clear" w:color="FFFF00" w:fill="FFC000"/>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小计</w:t>
            </w:r>
          </w:p>
        </w:tc>
        <w:tc>
          <w:tcPr>
            <w:tcW w:w="2053" w:type="dxa"/>
            <w:gridSpan w:val="2"/>
            <w:tcBorders>
              <w:top w:val="single" w:color="000000" w:sz="4" w:space="0"/>
              <w:left w:val="single" w:color="000000" w:sz="4" w:space="0"/>
              <w:bottom w:val="single" w:color="000000" w:sz="4" w:space="0"/>
              <w:right w:val="single" w:color="000000" w:sz="12" w:space="0"/>
            </w:tcBorders>
            <w:shd w:val="clear" w:color="auto" w:fill="FFC000"/>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360" w:hRule="atLeast"/>
        </w:trPr>
        <w:tc>
          <w:tcPr>
            <w:tcW w:w="9215" w:type="dxa"/>
            <w:gridSpan w:val="8"/>
            <w:tcBorders>
              <w:top w:val="single" w:color="000000" w:sz="4" w:space="0"/>
              <w:left w:val="single" w:color="000000" w:sz="4" w:space="0"/>
              <w:bottom w:val="single" w:color="000000" w:sz="4" w:space="0"/>
              <w:right w:val="single" w:color="000000" w:sz="12" w:space="0"/>
            </w:tcBorders>
            <w:shd w:val="clear" w:color="008080" w:fill="D9E1F2"/>
            <w:vAlign w:val="center"/>
          </w:tcPr>
          <w:p>
            <w:pPr>
              <w:widowControl/>
              <w:jc w:val="left"/>
              <w:textAlignment w:val="center"/>
              <w:rPr>
                <w:rFonts w:ascii="宋体" w:hAnsi="宋体" w:cs="宋体"/>
                <w:b/>
                <w:color w:val="000000"/>
                <w:sz w:val="28"/>
                <w:szCs w:val="28"/>
              </w:rPr>
            </w:pPr>
            <w:r>
              <w:rPr>
                <w:rFonts w:hint="eastAsia" w:ascii="宋体" w:hAnsi="宋体" w:cs="宋体"/>
                <w:b/>
                <w:color w:val="000000"/>
                <w:kern w:val="0"/>
                <w:sz w:val="28"/>
                <w:szCs w:val="28"/>
                <w:lang w:bidi="ar"/>
              </w:rPr>
              <w:t>2、BTSO 北塔智慧运维平台软件3.0.1</w:t>
            </w:r>
          </w:p>
        </w:tc>
      </w:tr>
      <w:tr>
        <w:tblPrEx>
          <w:tblLayout w:type="fixed"/>
          <w:tblCellMar>
            <w:top w:w="15" w:type="dxa"/>
            <w:left w:w="15" w:type="dxa"/>
            <w:bottom w:w="15" w:type="dxa"/>
            <w:right w:w="15" w:type="dxa"/>
          </w:tblCellMar>
        </w:tblPrEx>
        <w:trPr>
          <w:trHeight w:val="286" w:hRule="atLeast"/>
        </w:trPr>
        <w:tc>
          <w:tcPr>
            <w:tcW w:w="357" w:type="dxa"/>
            <w:tcBorders>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序号</w:t>
            </w:r>
          </w:p>
        </w:tc>
        <w:tc>
          <w:tcPr>
            <w:tcW w:w="552" w:type="dxa"/>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模块分类</w:t>
            </w:r>
          </w:p>
        </w:tc>
        <w:tc>
          <w:tcPr>
            <w:tcW w:w="1331"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模块名称</w:t>
            </w:r>
          </w:p>
        </w:tc>
        <w:tc>
          <w:tcPr>
            <w:tcW w:w="2475" w:type="dxa"/>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说明</w:t>
            </w:r>
          </w:p>
        </w:tc>
        <w:tc>
          <w:tcPr>
            <w:tcW w:w="1217" w:type="dxa"/>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限制与说明</w:t>
            </w:r>
          </w:p>
        </w:tc>
        <w:tc>
          <w:tcPr>
            <w:tcW w:w="1230"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单价（元）</w:t>
            </w:r>
          </w:p>
        </w:tc>
        <w:tc>
          <w:tcPr>
            <w:tcW w:w="633"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数量</w:t>
            </w:r>
          </w:p>
        </w:tc>
        <w:tc>
          <w:tcPr>
            <w:tcW w:w="1420" w:type="dxa"/>
            <w:tcBorders>
              <w:top w:val="single" w:color="000000" w:sz="4" w:space="0"/>
              <w:left w:val="single" w:color="000000" w:sz="4" w:space="0"/>
              <w:right w:val="single" w:color="000000" w:sz="12"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计价（元）</w:t>
            </w:r>
          </w:p>
        </w:tc>
      </w:tr>
      <w:tr>
        <w:tblPrEx>
          <w:tblLayout w:type="fixed"/>
          <w:tblCellMar>
            <w:top w:w="15" w:type="dxa"/>
            <w:left w:w="15" w:type="dxa"/>
            <w:bottom w:w="15" w:type="dxa"/>
            <w:right w:w="15" w:type="dxa"/>
          </w:tblCellMar>
        </w:tblPrEx>
        <w:trPr>
          <w:trHeight w:val="1801"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基础管理</w:t>
            </w: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基础功能</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用户管理、操作审计、个性首页、应用导航、告警阈值判断等基本支撑能力。通过个性首页可以实现各类采集管理指标的不同业务目标的定制查看界面。提供阈值告警设置、实时告警查下看、历史告警分析等基础告警管理功能，支持最大10个并发用户同时方位用户。提供以硬件短信猫、邮件、CMD脚本调用、数据库脚本方式的告警输出，同时基于网页播放声音进行告警通知。</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720"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2</w:t>
            </w:r>
          </w:p>
        </w:tc>
        <w:tc>
          <w:tcPr>
            <w:tcW w:w="55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告警输出转换</w:t>
            </w:r>
          </w:p>
        </w:tc>
        <w:tc>
          <w:tcPr>
            <w:tcW w:w="1331"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告警数据输出转换</w:t>
            </w:r>
          </w:p>
        </w:tc>
        <w:tc>
          <w:tcPr>
            <w:tcW w:w="2475" w:type="dxa"/>
            <w:tcBorders>
              <w:top w:val="single" w:color="000000" w:sz="4" w:space="0"/>
              <w:lef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对告警数据进行格式转换，符合第三方系统要求，并通过BTXM的A类通道服务进行告警输出，此处涉及HTTP、TCP、UDP、syslog通道，以及不在基础输出方式中涉及的通道内容。</w:t>
            </w:r>
          </w:p>
        </w:tc>
        <w:tc>
          <w:tcPr>
            <w:tcW w:w="1217" w:type="dxa"/>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￥8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1471"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3</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报表与数据分析</w:t>
            </w: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报表管理组件</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各类管理对象1年数据无压缩存储和查询能力，通过简单设置可实现不同管理域的个性化报表，同时可提供日周月季年多个统计周期的报表，并提供对资源各类关键的表格化数据进行实时快照记录，并提供手动对比功能，为动态数据提供有效的分析方法；</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795" w:hRule="atLeast"/>
        </w:trPr>
        <w:tc>
          <w:tcPr>
            <w:tcW w:w="357" w:type="dxa"/>
            <w:tcBorders>
              <w:top w:val="single" w:color="000000" w:sz="4" w:space="0"/>
              <w:left w:val="single" w:color="000000" w:sz="12" w:space="0"/>
              <w:bottom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4</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报表基础模板</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提供基础报表模板内容包括：可用率、性能负载、告警统计、容量分析相关统计报表。</w:t>
            </w:r>
          </w:p>
        </w:tc>
        <w:tc>
          <w:tcPr>
            <w:tcW w:w="1217"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本模块必须和报表管理组件同时售卖</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1741"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5</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基础监控管理</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操作系统管理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支持对于windows、linux、hp unix、Aix、solaris类型操作系统的管理，实现主机状态的集中查看和单个设备查看结合的管理，支持对于基本信息、运行状态、硬件状态、运行内容的一体化管理，购买本模板赠送系统拓扑视图模块；配合本模块可以使用内存泄露分析、高负载应用进程分析、空间增长分析策略。</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855"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6</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服务器硬件管理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提供服务器硬件带外管理，以IPMI方式进行硬件状态监控；同时提供硬件管理总览界面，按照不同异常进行快速归类，便于快速定位硬件问题；</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810"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7</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网络拓扑管理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提供对网络设备拓扑关系展现、设备性能、设备状态的实时展现和监控。</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480"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8</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网络设备配置管理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实现网络设备的配置文件自动备份，并支持对配置文件变更状况进行自动监控。</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1471" w:hRule="atLeast"/>
        </w:trPr>
        <w:tc>
          <w:tcPr>
            <w:tcW w:w="357" w:type="dxa"/>
            <w:tcBorders>
              <w:top w:val="single" w:color="000000" w:sz="4" w:space="0"/>
              <w:left w:val="single" w:color="000000" w:sz="12" w:space="0"/>
              <w:bottom w:val="single" w:color="000000" w:sz="4" w:space="0"/>
              <w:right w:val="single" w:color="000000" w:sz="4" w:space="0"/>
            </w:tcBorders>
            <w:shd w:val="clear" w:color="auto" w:fill="FFFF00"/>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9</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IP地址规划管理</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IP地址-MAC地址-交换机端口匹配结果分组和查询；自动发现使用中的IP地址及接入位置，跟踪其历史使用情况;支持用户对IP网段进行规划和分配，自动监测使用中的IP地址及接入位置，及时发现非法使用的IP地址，帮助用户进行IP地址规划和监控；帮助用户分析网络事件的影响度。</w:t>
            </w:r>
          </w:p>
        </w:tc>
        <w:tc>
          <w:tcPr>
            <w:tcW w:w="1217"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仅支持100个网络设备、5000个在线终端场景的售卖。</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960"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0"/>
                <w:szCs w:val="20"/>
              </w:rPr>
            </w:pPr>
            <w:r>
              <w:rPr>
                <w:rFonts w:hint="eastAsia" w:ascii="宋体" w:hAnsi="宋体" w:cs="宋体"/>
                <w:color w:val="000000"/>
                <w:sz w:val="20"/>
                <w:szCs w:val="20"/>
              </w:rPr>
              <w:t>10</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Vsphere虚拟化管理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对于vSphere虚拟化环境的监控，以虚拟拓扑图为基础，提供宿主机、虚拟机的配置、状态、性能的一体化展现，支持CPU、内存、数据存储的使用、预防、回收方面的分析和建议，为虚拟性能进行使用分析，并提供改进建议。</w:t>
            </w:r>
          </w:p>
        </w:tc>
        <w:tc>
          <w:tcPr>
            <w:tcW w:w="1217" w:type="dxa"/>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690"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11</w:t>
            </w: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存储管理</w:t>
            </w:r>
          </w:p>
        </w:tc>
        <w:tc>
          <w:tcPr>
            <w:tcW w:w="2475" w:type="dxa"/>
            <w:tcBorders>
              <w:top w:val="single" w:color="000000" w:sz="4" w:space="0"/>
              <w:left w:val="single" w:color="000000" w:sz="4" w:space="0"/>
              <w:bottom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提供支持存储设备（磁盘阵列、光纤交换机）的设备状态、性能管理，以及各个磁盘、控制器的状态监管；</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286" w:hRule="atLeast"/>
        </w:trPr>
        <w:tc>
          <w:tcPr>
            <w:tcW w:w="7162" w:type="dxa"/>
            <w:gridSpan w:val="6"/>
            <w:tcBorders>
              <w:top w:val="single" w:color="000000" w:sz="4" w:space="0"/>
              <w:left w:val="single" w:color="000000" w:sz="4" w:space="0"/>
              <w:bottom w:val="single" w:color="000000" w:sz="4" w:space="0"/>
              <w:right w:val="single" w:color="000000" w:sz="4" w:space="0"/>
            </w:tcBorders>
            <w:shd w:val="clear" w:color="FFFF00" w:fill="FFC000"/>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小计</w:t>
            </w:r>
          </w:p>
        </w:tc>
        <w:tc>
          <w:tcPr>
            <w:tcW w:w="2053" w:type="dxa"/>
            <w:gridSpan w:val="2"/>
            <w:tcBorders>
              <w:top w:val="single" w:color="000000" w:sz="4" w:space="0"/>
              <w:left w:val="single" w:color="000000" w:sz="4" w:space="0"/>
              <w:bottom w:val="single" w:color="000000" w:sz="4" w:space="0"/>
              <w:right w:val="single" w:color="000000" w:sz="12" w:space="0"/>
            </w:tcBorders>
            <w:shd w:val="clear" w:color="FFFF00" w:fill="FFCC00"/>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375" w:hRule="atLeast"/>
        </w:trPr>
        <w:tc>
          <w:tcPr>
            <w:tcW w:w="9215" w:type="dxa"/>
            <w:gridSpan w:val="8"/>
            <w:tcBorders>
              <w:top w:val="single" w:color="000000" w:sz="4" w:space="0"/>
              <w:left w:val="single" w:color="000000" w:sz="4" w:space="0"/>
              <w:bottom w:val="single" w:color="000000" w:sz="4" w:space="0"/>
              <w:right w:val="single" w:color="000000" w:sz="12" w:space="0"/>
            </w:tcBorders>
            <w:shd w:val="clear" w:color="008080" w:fill="D9E1F2"/>
            <w:vAlign w:val="center"/>
          </w:tcPr>
          <w:p>
            <w:pPr>
              <w:widowControl/>
              <w:jc w:val="left"/>
              <w:textAlignment w:val="center"/>
              <w:rPr>
                <w:rFonts w:ascii="宋体" w:hAnsi="宋体" w:cs="宋体"/>
                <w:b/>
                <w:color w:val="000000"/>
                <w:sz w:val="28"/>
                <w:szCs w:val="28"/>
              </w:rPr>
            </w:pPr>
            <w:r>
              <w:rPr>
                <w:rFonts w:hint="eastAsia" w:ascii="宋体" w:hAnsi="宋体" w:cs="宋体"/>
                <w:b/>
                <w:color w:val="000000"/>
                <w:kern w:val="0"/>
                <w:sz w:val="28"/>
                <w:szCs w:val="28"/>
                <w:lang w:bidi="ar"/>
              </w:rPr>
              <w:t>3、年度技术服务（以12个月为单位）</w:t>
            </w:r>
          </w:p>
        </w:tc>
      </w:tr>
      <w:tr>
        <w:tblPrEx>
          <w:tblLayout w:type="fixed"/>
          <w:tblCellMar>
            <w:top w:w="15" w:type="dxa"/>
            <w:left w:w="15" w:type="dxa"/>
            <w:bottom w:w="15" w:type="dxa"/>
            <w:right w:w="15" w:type="dxa"/>
          </w:tblCellMar>
        </w:tblPrEx>
        <w:trPr>
          <w:trHeight w:val="480" w:hRule="atLeast"/>
        </w:trPr>
        <w:tc>
          <w:tcPr>
            <w:tcW w:w="357" w:type="dxa"/>
            <w:tcBorders>
              <w:left w:val="single" w:color="000000" w:sz="12" w:space="0"/>
              <w:bottom w:val="single" w:color="000000" w:sz="4" w:space="0"/>
              <w:right w:val="single" w:color="000000" w:sz="4" w:space="0"/>
            </w:tcBorders>
            <w:shd w:val="clear" w:color="FFFFCC" w:fill="FFFFFF"/>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序号</w:t>
            </w:r>
          </w:p>
        </w:tc>
        <w:tc>
          <w:tcPr>
            <w:tcW w:w="552" w:type="dxa"/>
            <w:tcBorders>
              <w:left w:val="single" w:color="000000" w:sz="4" w:space="0"/>
              <w:bottom w:val="single" w:color="000000" w:sz="4" w:space="0"/>
              <w:right w:val="single" w:color="000000" w:sz="4" w:space="0"/>
            </w:tcBorders>
            <w:shd w:val="clear" w:color="FFFFCC" w:fill="FFFFFF"/>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lang w:bidi="ar"/>
              </w:rPr>
              <w:t>服务等级</w:t>
            </w:r>
          </w:p>
        </w:tc>
        <w:tc>
          <w:tcPr>
            <w:tcW w:w="1331" w:type="dxa"/>
            <w:tcBorders>
              <w:left w:val="single" w:color="000000" w:sz="4" w:space="0"/>
              <w:bottom w:val="single" w:color="000000" w:sz="4" w:space="0"/>
              <w:right w:val="single" w:color="000000" w:sz="4" w:space="0"/>
            </w:tcBorders>
            <w:shd w:val="clear" w:color="FFFFCC" w:fill="FFFFFF"/>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服务名称</w:t>
            </w:r>
          </w:p>
        </w:tc>
        <w:tc>
          <w:tcPr>
            <w:tcW w:w="2475" w:type="dxa"/>
            <w:tcBorders>
              <w:left w:val="single" w:color="000000" w:sz="4" w:space="0"/>
              <w:bottom w:val="single" w:color="000000" w:sz="4" w:space="0"/>
              <w:right w:val="single" w:color="000000" w:sz="4" w:space="0"/>
            </w:tcBorders>
            <w:shd w:val="clear" w:color="FFFFCC" w:fill="FFFFFF"/>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描述</w:t>
            </w:r>
          </w:p>
        </w:tc>
        <w:tc>
          <w:tcPr>
            <w:tcW w:w="1217" w:type="dxa"/>
            <w:tcBorders>
              <w:left w:val="single" w:color="000000" w:sz="4" w:space="0"/>
              <w:bottom w:val="single" w:color="000000" w:sz="4" w:space="0"/>
              <w:right w:val="single" w:color="000000" w:sz="4" w:space="0"/>
            </w:tcBorders>
            <w:shd w:val="clear" w:color="FFFFCC" w:fill="FFFFFF"/>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限制与说明</w:t>
            </w:r>
          </w:p>
        </w:tc>
        <w:tc>
          <w:tcPr>
            <w:tcW w:w="1230" w:type="dxa"/>
            <w:tcBorders>
              <w:left w:val="single" w:color="000000" w:sz="4" w:space="0"/>
              <w:bottom w:val="single" w:color="000000" w:sz="4" w:space="0"/>
              <w:right w:val="single" w:color="000000" w:sz="4" w:space="0"/>
            </w:tcBorders>
            <w:shd w:val="clear" w:color="FFFFCC" w:fill="FFFFFF"/>
            <w:vAlign w:val="center"/>
          </w:tcPr>
          <w:p>
            <w:pPr>
              <w:widowControl/>
              <w:jc w:val="left"/>
              <w:textAlignment w:val="center"/>
              <w:rPr>
                <w:rFonts w:ascii="宋体" w:hAnsi="宋体" w:cs="宋体"/>
                <w:b/>
                <w:color w:val="000000"/>
                <w:sz w:val="22"/>
                <w:szCs w:val="22"/>
              </w:rPr>
            </w:pPr>
            <w:r>
              <w:rPr>
                <w:rFonts w:hint="eastAsia" w:ascii="宋体" w:hAnsi="宋体" w:cs="宋体"/>
                <w:b/>
                <w:color w:val="000000"/>
                <w:kern w:val="0"/>
                <w:sz w:val="22"/>
                <w:szCs w:val="22"/>
                <w:lang w:bidi="ar"/>
              </w:rPr>
              <w:t>计价逻辑</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数量（年）</w:t>
            </w:r>
          </w:p>
        </w:tc>
        <w:tc>
          <w:tcPr>
            <w:tcW w:w="1420" w:type="dxa"/>
            <w:tcBorders>
              <w:top w:val="single" w:color="000000" w:sz="4" w:space="0"/>
              <w:left w:val="single" w:color="000000" w:sz="4" w:space="0"/>
              <w:bottom w:val="single" w:color="000000" w:sz="4" w:space="0"/>
              <w:right w:val="single" w:color="000000" w:sz="12" w:space="0"/>
            </w:tcBorders>
            <w:shd w:val="clear" w:color="auto" w:fill="auto"/>
            <w:vAlign w:val="center"/>
          </w:tcPr>
          <w:p>
            <w:pPr>
              <w:widowControl/>
              <w:jc w:val="left"/>
              <w:textAlignment w:val="center"/>
              <w:rPr>
                <w:rFonts w:ascii="等线" w:hAnsi="等线" w:eastAsia="等线" w:cs="等线"/>
                <w:b/>
                <w:color w:val="000000"/>
                <w:sz w:val="20"/>
                <w:szCs w:val="20"/>
              </w:rPr>
            </w:pPr>
            <w:r>
              <w:rPr>
                <w:rFonts w:ascii="等线" w:hAnsi="等线" w:eastAsia="等线" w:cs="等线"/>
                <w:b/>
                <w:color w:val="000000"/>
                <w:kern w:val="0"/>
                <w:sz w:val="20"/>
                <w:szCs w:val="20"/>
                <w:lang w:bidi="ar"/>
              </w:rPr>
              <w:t>计价（元）</w:t>
            </w:r>
          </w:p>
        </w:tc>
      </w:tr>
      <w:tr>
        <w:tblPrEx>
          <w:tblLayout w:type="fixed"/>
          <w:tblCellMar>
            <w:top w:w="15" w:type="dxa"/>
            <w:left w:w="15" w:type="dxa"/>
            <w:bottom w:w="15" w:type="dxa"/>
            <w:right w:w="15" w:type="dxa"/>
          </w:tblCellMar>
        </w:tblPrEx>
        <w:trPr>
          <w:trHeight w:val="1711" w:hRule="atLeast"/>
        </w:trPr>
        <w:tc>
          <w:tcPr>
            <w:tcW w:w="357" w:type="dxa"/>
            <w:tcBorders>
              <w:top w:val="single" w:color="000000" w:sz="4" w:space="0"/>
              <w:left w:val="single" w:color="000000" w:sz="12" w:space="0"/>
              <w:bottom w:val="single" w:color="000000" w:sz="4" w:space="0"/>
              <w:right w:val="single" w:color="000000" w:sz="4" w:space="0"/>
            </w:tcBorders>
            <w:shd w:val="clear" w:color="auto" w:fill="auto"/>
            <w:vAlign w:val="center"/>
          </w:tcPr>
          <w:p>
            <w:pPr>
              <w:widowControl/>
              <w:jc w:val="center"/>
              <w:textAlignment w:val="center"/>
              <w:rPr>
                <w:color w:val="000000"/>
                <w:sz w:val="20"/>
                <w:szCs w:val="20"/>
              </w:rPr>
            </w:pPr>
            <w:r>
              <w:rPr>
                <w:color w:val="000000"/>
                <w:kern w:val="0"/>
                <w:sz w:val="20"/>
                <w:szCs w:val="20"/>
                <w:lang w:bidi="ar"/>
              </w:rPr>
              <w:t>1</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Arial" w:hAnsi="Arial" w:cs="Arial"/>
                <w:color w:val="000000"/>
                <w:sz w:val="20"/>
                <w:szCs w:val="20"/>
              </w:rPr>
            </w:pPr>
            <w:r>
              <w:rPr>
                <w:rStyle w:val="73"/>
                <w:lang w:bidi="ar"/>
              </w:rPr>
              <w:t>C</w:t>
            </w:r>
            <w:r>
              <w:rPr>
                <w:rStyle w:val="74"/>
                <w:rFonts w:hint="default"/>
                <w:lang w:bidi="ar"/>
              </w:rPr>
              <w:t>级服务</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标准技术服务C</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Style w:val="74"/>
                <w:rFonts w:hint="default"/>
                <w:lang w:bidi="ar"/>
              </w:rPr>
              <w:t>1、在服务期内提供软件免费升级、bug解决服务。</w:t>
            </w:r>
            <w:r>
              <w:rPr>
                <w:rStyle w:val="74"/>
                <w:rFonts w:hint="default"/>
                <w:lang w:bidi="ar"/>
              </w:rPr>
              <w:br w:type="textWrapping"/>
            </w:r>
            <w:r>
              <w:rPr>
                <w:rStyle w:val="75"/>
                <w:lang w:bidi="ar"/>
              </w:rPr>
              <w:t>2</w:t>
            </w:r>
            <w:r>
              <w:rPr>
                <w:rStyle w:val="74"/>
                <w:rFonts w:hint="default"/>
                <w:lang w:bidi="ar"/>
              </w:rPr>
              <w:t>、提供季度巡检服务（差旅费另算）</w:t>
            </w:r>
            <w:r>
              <w:rPr>
                <w:rStyle w:val="74"/>
                <w:rFonts w:hint="default"/>
                <w:lang w:bidi="ar"/>
              </w:rPr>
              <w:br w:type="textWrapping"/>
            </w:r>
            <w:r>
              <w:rPr>
                <w:rStyle w:val="75"/>
                <w:lang w:bidi="ar"/>
              </w:rPr>
              <w:t>3</w:t>
            </w:r>
            <w:r>
              <w:rPr>
                <w:rStyle w:val="74"/>
                <w:rFonts w:hint="default"/>
                <w:lang w:bidi="ar"/>
              </w:rPr>
              <w:t>、本服务项目最小选择单位为1年；</w:t>
            </w:r>
            <w:r>
              <w:rPr>
                <w:rStyle w:val="74"/>
                <w:rFonts w:hint="default"/>
                <w:lang w:bidi="ar"/>
              </w:rPr>
              <w:br w:type="textWrapping"/>
            </w:r>
            <w:r>
              <w:rPr>
                <w:rStyle w:val="74"/>
                <w:rFonts w:hint="default"/>
                <w:lang w:bidi="ar"/>
              </w:rPr>
              <w:t>4、新疆、西藏等巡检服务差旅标准为0的区域不提供巡检服务，首年免费期提供远程400技术支持服务；</w:t>
            </w:r>
            <w:r>
              <w:rPr>
                <w:rStyle w:val="74"/>
                <w:rFonts w:hint="default"/>
                <w:lang w:bidi="ar"/>
              </w:rPr>
              <w:br w:type="textWrapping"/>
            </w:r>
            <w:r>
              <w:rPr>
                <w:rStyle w:val="74"/>
                <w:rFonts w:hint="default"/>
                <w:lang w:bidi="ar"/>
              </w:rPr>
              <w:t>5、新采购合同有效金额不足5万不提供巡检服务，首年免费期提供远程400技术支持服务；</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0"/>
                <w:szCs w:val="20"/>
              </w:rPr>
            </w:pPr>
          </w:p>
        </w:tc>
        <w:tc>
          <w:tcPr>
            <w:tcW w:w="1230" w:type="dxa"/>
            <w:tcBorders>
              <w:top w:val="single" w:color="000000" w:sz="4" w:space="0"/>
              <w:left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bottom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12"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495" w:hRule="atLeast"/>
        </w:trPr>
        <w:tc>
          <w:tcPr>
            <w:tcW w:w="357" w:type="dxa"/>
            <w:tcBorders>
              <w:top w:val="single" w:color="000000" w:sz="4" w:space="0"/>
              <w:left w:val="single" w:color="000000" w:sz="12" w:space="0"/>
              <w:right w:val="single" w:color="000000" w:sz="4" w:space="0"/>
            </w:tcBorders>
            <w:shd w:val="clear" w:color="auto" w:fill="auto"/>
            <w:vAlign w:val="center"/>
          </w:tcPr>
          <w:p>
            <w:pPr>
              <w:widowControl/>
              <w:jc w:val="center"/>
              <w:textAlignment w:val="center"/>
              <w:rPr>
                <w:color w:val="000000"/>
                <w:sz w:val="20"/>
                <w:szCs w:val="20"/>
              </w:rPr>
            </w:pPr>
            <w:r>
              <w:rPr>
                <w:color w:val="000000"/>
                <w:kern w:val="0"/>
                <w:sz w:val="20"/>
                <w:szCs w:val="20"/>
                <w:lang w:bidi="ar"/>
              </w:rPr>
              <w:t>2</w:t>
            </w:r>
          </w:p>
        </w:tc>
        <w:tc>
          <w:tcPr>
            <w:tcW w:w="55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巡检服务差旅费</w:t>
            </w:r>
          </w:p>
        </w:tc>
        <w:tc>
          <w:tcPr>
            <w:tcW w:w="1331"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巡检服务差旅费</w:t>
            </w:r>
          </w:p>
        </w:tc>
        <w:tc>
          <w:tcPr>
            <w:tcW w:w="2475"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巡检差率费按年计费；</w:t>
            </w:r>
          </w:p>
        </w:tc>
        <w:tc>
          <w:tcPr>
            <w:tcW w:w="1217" w:type="dxa"/>
            <w:tcBorders>
              <w:top w:val="single" w:color="000000" w:sz="4" w:space="0"/>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每年价格  元</w:t>
            </w:r>
          </w:p>
        </w:tc>
        <w:tc>
          <w:tcPr>
            <w:tcW w:w="1230" w:type="dxa"/>
            <w:tcBorders>
              <w:top w:val="single" w:color="000000" w:sz="4" w:space="0"/>
              <w:left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 </w:t>
            </w:r>
          </w:p>
        </w:tc>
        <w:tc>
          <w:tcPr>
            <w:tcW w:w="633" w:type="dxa"/>
            <w:tcBorders>
              <w:top w:val="single" w:color="000000" w:sz="4" w:space="0"/>
              <w:left w:val="single" w:color="000000" w:sz="4" w:space="0"/>
              <w:right w:val="single" w:color="000000" w:sz="4" w:space="0"/>
            </w:tcBorders>
            <w:shd w:val="clear" w:color="auto" w:fill="FFC7CE"/>
            <w:vAlign w:val="center"/>
          </w:tcPr>
          <w:p>
            <w:pPr>
              <w:widowControl/>
              <w:jc w:val="right"/>
              <w:textAlignment w:val="center"/>
              <w:rPr>
                <w:rFonts w:ascii="等线" w:hAnsi="等线" w:eastAsia="等线" w:cs="等线"/>
                <w:color w:val="9C0006"/>
                <w:sz w:val="20"/>
                <w:szCs w:val="20"/>
              </w:rPr>
            </w:pPr>
            <w:r>
              <w:rPr>
                <w:rFonts w:ascii="等线" w:hAnsi="等线" w:eastAsia="等线" w:cs="等线"/>
                <w:color w:val="9C0006"/>
                <w:kern w:val="0"/>
                <w:sz w:val="20"/>
                <w:szCs w:val="20"/>
                <w:lang w:bidi="ar"/>
              </w:rPr>
              <w:t>1</w:t>
            </w:r>
          </w:p>
        </w:tc>
        <w:tc>
          <w:tcPr>
            <w:tcW w:w="1420" w:type="dxa"/>
            <w:tcBorders>
              <w:top w:val="single" w:color="000000" w:sz="4" w:space="0"/>
              <w:left w:val="single" w:color="000000" w:sz="4" w:space="0"/>
              <w:bottom w:val="single" w:color="000000" w:sz="4" w:space="0"/>
              <w:right w:val="single" w:color="000000" w:sz="12" w:space="0"/>
            </w:tcBorders>
            <w:shd w:val="clear" w:color="auto" w:fill="auto"/>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r>
        <w:tblPrEx>
          <w:tblLayout w:type="fixed"/>
          <w:tblCellMar>
            <w:top w:w="15" w:type="dxa"/>
            <w:left w:w="15" w:type="dxa"/>
            <w:bottom w:w="15" w:type="dxa"/>
            <w:right w:w="15" w:type="dxa"/>
          </w:tblCellMar>
        </w:tblPrEx>
        <w:trPr>
          <w:trHeight w:val="286" w:hRule="atLeast"/>
        </w:trPr>
        <w:tc>
          <w:tcPr>
            <w:tcW w:w="7162" w:type="dxa"/>
            <w:gridSpan w:val="6"/>
            <w:tcBorders>
              <w:top w:val="single" w:color="000000" w:sz="4" w:space="0"/>
              <w:left w:val="single" w:color="000000" w:sz="12" w:space="0"/>
              <w:bottom w:val="single" w:color="000000" w:sz="12" w:space="0"/>
              <w:right w:val="single" w:color="000000" w:sz="4" w:space="0"/>
            </w:tcBorders>
            <w:shd w:val="clear" w:color="FFFF00" w:fill="FFCC00"/>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小计</w:t>
            </w:r>
          </w:p>
        </w:tc>
        <w:tc>
          <w:tcPr>
            <w:tcW w:w="2053" w:type="dxa"/>
            <w:gridSpan w:val="2"/>
            <w:tcBorders>
              <w:top w:val="single" w:color="000000" w:sz="4" w:space="0"/>
              <w:left w:val="single" w:color="000000" w:sz="4" w:space="0"/>
              <w:bottom w:val="single" w:color="000000" w:sz="12" w:space="0"/>
              <w:right w:val="single" w:color="000000" w:sz="12" w:space="0"/>
            </w:tcBorders>
            <w:shd w:val="clear" w:color="FFFF00" w:fill="FFCC00"/>
            <w:vAlign w:val="center"/>
          </w:tcPr>
          <w:p>
            <w:pPr>
              <w:widowControl/>
              <w:jc w:val="right"/>
              <w:textAlignment w:val="center"/>
              <w:rPr>
                <w:rFonts w:ascii="等线" w:hAnsi="等线" w:eastAsia="等线" w:cs="等线"/>
                <w:color w:val="000000"/>
                <w:sz w:val="20"/>
                <w:szCs w:val="20"/>
              </w:rPr>
            </w:pPr>
            <w:r>
              <w:rPr>
                <w:rFonts w:ascii="等线" w:hAnsi="等线" w:eastAsia="等线" w:cs="等线"/>
                <w:color w:val="000000"/>
                <w:kern w:val="0"/>
                <w:sz w:val="20"/>
                <w:szCs w:val="20"/>
                <w:lang w:bidi="ar"/>
              </w:rPr>
              <w:t xml:space="preserve"> ￥ </w:t>
            </w:r>
          </w:p>
        </w:tc>
      </w:tr>
    </w:tbl>
    <w:p/>
    <w:p/>
    <w:p/>
    <w:p/>
    <w:p>
      <w:pPr>
        <w:rPr>
          <w:b/>
          <w:bCs/>
          <w:sz w:val="32"/>
          <w:szCs w:val="32"/>
        </w:rPr>
      </w:pPr>
      <w:r>
        <w:rPr>
          <w:rFonts w:hint="eastAsia"/>
          <w:b/>
          <w:bCs/>
          <w:sz w:val="32"/>
          <w:szCs w:val="32"/>
        </w:rPr>
        <w:t>总报价含税金额：----------------</w:t>
      </w:r>
    </w:p>
    <w:p>
      <w:pPr>
        <w:rPr>
          <w:b/>
          <w:bCs/>
          <w:sz w:val="32"/>
          <w:szCs w:val="32"/>
        </w:rPr>
      </w:pPr>
      <w:r>
        <w:rPr>
          <w:rFonts w:hint="eastAsia"/>
          <w:b/>
          <w:bCs/>
          <w:sz w:val="32"/>
          <w:szCs w:val="32"/>
        </w:rPr>
        <w:t xml:space="preserve">       （大写）：----------------</w:t>
      </w:r>
    </w:p>
    <w:p>
      <w:pPr>
        <w:pStyle w:val="2"/>
        <w:numPr>
          <w:ilvl w:val="0"/>
          <w:numId w:val="0"/>
        </w:numPr>
        <w:spacing w:before="0" w:after="0" w:line="360" w:lineRule="exact"/>
        <w:rPr>
          <w:rFonts w:ascii="新宋体" w:hAnsi="新宋体" w:eastAsia="新宋体"/>
          <w:color w:val="000000"/>
          <w:sz w:val="28"/>
          <w:szCs w:val="28"/>
        </w:rPr>
      </w:pPr>
      <w:bookmarkStart w:id="141" w:name="_Toc3215855"/>
      <w:r>
        <w:rPr>
          <w:rFonts w:hint="eastAsia" w:ascii="新宋体" w:hAnsi="新宋体" w:eastAsia="新宋体"/>
          <w:color w:val="000000"/>
          <w:sz w:val="28"/>
          <w:szCs w:val="28"/>
        </w:rPr>
        <w:t xml:space="preserve">第七部分 </w:t>
      </w:r>
      <w:r>
        <w:rPr>
          <w:rFonts w:ascii="新宋体" w:hAnsi="新宋体" w:eastAsia="新宋体"/>
          <w:color w:val="000000"/>
          <w:sz w:val="28"/>
          <w:szCs w:val="28"/>
        </w:rPr>
        <w:t xml:space="preserve"> </w:t>
      </w:r>
      <w:r>
        <w:rPr>
          <w:rFonts w:hint="eastAsia" w:ascii="新宋体" w:hAnsi="新宋体" w:eastAsia="新宋体"/>
          <w:color w:val="000000"/>
          <w:sz w:val="28"/>
          <w:szCs w:val="28"/>
        </w:rPr>
        <w:t>投标文件格式</w:t>
      </w:r>
      <w:bookmarkEnd w:id="141"/>
    </w:p>
    <w:p>
      <w:pPr>
        <w:autoSpaceDE w:val="0"/>
        <w:autoSpaceDN w:val="0"/>
        <w:adjustRightInd w:val="0"/>
        <w:spacing w:line="360" w:lineRule="auto"/>
        <w:rPr>
          <w:rFonts w:ascii="新宋体" w:hAnsi="新宋体" w:eastAsia="新宋体" w:cs="宋体"/>
          <w:b/>
          <w:bCs/>
          <w:color w:val="000000"/>
          <w:szCs w:val="21"/>
        </w:rPr>
      </w:pPr>
    </w:p>
    <w:p>
      <w:pPr>
        <w:autoSpaceDE w:val="0"/>
        <w:autoSpaceDN w:val="0"/>
        <w:adjustRightInd w:val="0"/>
        <w:spacing w:line="360" w:lineRule="auto"/>
        <w:rPr>
          <w:rFonts w:ascii="新宋体" w:hAnsi="新宋体" w:eastAsia="新宋体" w:cs="宋体"/>
          <w:b/>
          <w:bCs/>
          <w:color w:val="000000"/>
          <w:szCs w:val="21"/>
          <w:lang w:val="zh-CN"/>
        </w:rPr>
      </w:pPr>
    </w:p>
    <w:p>
      <w:pPr>
        <w:autoSpaceDE w:val="0"/>
        <w:autoSpaceDN w:val="0"/>
        <w:adjustRightInd w:val="0"/>
        <w:spacing w:line="360" w:lineRule="auto"/>
        <w:rPr>
          <w:rFonts w:ascii="新宋体" w:hAnsi="新宋体" w:eastAsia="新宋体"/>
          <w:b/>
          <w:bCs/>
          <w:color w:val="000000"/>
          <w:sz w:val="24"/>
        </w:rPr>
      </w:pPr>
      <w:r>
        <w:rPr>
          <w:rFonts w:hint="eastAsia" w:ascii="新宋体" w:hAnsi="新宋体" w:eastAsia="新宋体" w:cs="宋体"/>
          <w:b/>
          <w:bCs/>
          <w:color w:val="000000"/>
          <w:sz w:val="24"/>
          <w:lang w:val="zh-CN"/>
        </w:rPr>
        <w:t>说明：</w:t>
      </w:r>
    </w:p>
    <w:p>
      <w:pPr>
        <w:autoSpaceDE w:val="0"/>
        <w:autoSpaceDN w:val="0"/>
        <w:adjustRightInd w:val="0"/>
        <w:spacing w:line="360" w:lineRule="auto"/>
        <w:ind w:firstLine="480"/>
        <w:rPr>
          <w:rFonts w:ascii="新宋体" w:hAnsi="新宋体" w:eastAsia="新宋体"/>
          <w:b/>
          <w:bCs/>
          <w:color w:val="000000"/>
          <w:sz w:val="24"/>
        </w:rPr>
      </w:pPr>
      <w:r>
        <w:rPr>
          <w:rFonts w:hint="eastAsia" w:ascii="新宋体" w:hAnsi="新宋体" w:eastAsia="新宋体" w:cs="宋体"/>
          <w:b/>
          <w:bCs/>
          <w:color w:val="000000"/>
          <w:sz w:val="24"/>
          <w:lang w:val="zh-CN"/>
        </w:rPr>
        <w:t>对本章所有的投标书格式，投标人可根据自身情况进行补充和修改，但补充和修改不得造成与本格式内容有实质性的违背。</w:t>
      </w: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autoSpaceDE w:val="0"/>
        <w:autoSpaceDN w:val="0"/>
        <w:adjustRightInd w:val="0"/>
        <w:spacing w:line="360" w:lineRule="auto"/>
        <w:rPr>
          <w:rFonts w:ascii="新宋体" w:hAnsi="新宋体" w:eastAsia="新宋体"/>
          <w:b/>
          <w:bCs/>
          <w:color w:val="000000"/>
        </w:rPr>
      </w:pPr>
    </w:p>
    <w:p>
      <w:pPr>
        <w:pStyle w:val="24"/>
        <w:rPr>
          <w:rFonts w:ascii="新宋体" w:hAnsi="新宋体" w:eastAsia="新宋体"/>
          <w:color w:val="000000"/>
        </w:rPr>
      </w:pPr>
      <w:bookmarkStart w:id="142" w:name="_Toc3215856"/>
      <w:r>
        <w:rPr>
          <w:rFonts w:hint="eastAsia" w:ascii="新宋体" w:hAnsi="新宋体" w:eastAsia="新宋体"/>
          <w:color w:val="000000"/>
          <w:lang w:val="zh-CN"/>
        </w:rPr>
        <w:t>格式</w:t>
      </w:r>
      <w:r>
        <w:rPr>
          <w:rFonts w:ascii="新宋体" w:hAnsi="新宋体" w:eastAsia="新宋体"/>
          <w:color w:val="000000"/>
          <w:lang w:val="zh-CN"/>
        </w:rPr>
        <w:t>1</w:t>
      </w:r>
      <w:r>
        <w:rPr>
          <w:rFonts w:hint="eastAsia" w:ascii="新宋体" w:hAnsi="新宋体" w:eastAsia="新宋体"/>
          <w:color w:val="000000"/>
          <w:lang w:val="zh-CN"/>
        </w:rPr>
        <w:t>、（投标人）法人委托书</w:t>
      </w:r>
      <w:bookmarkEnd w:id="142"/>
    </w:p>
    <w:p>
      <w:pPr>
        <w:jc w:val="center"/>
        <w:rPr>
          <w:rFonts w:ascii="新宋体" w:hAnsi="新宋体" w:eastAsia="新宋体"/>
          <w:b/>
          <w:color w:val="000000"/>
          <w:sz w:val="28"/>
          <w:szCs w:val="28"/>
          <w:lang w:val="zh-CN"/>
        </w:rPr>
      </w:pPr>
      <w:bookmarkStart w:id="143" w:name="_Toc312695324"/>
      <w:bookmarkStart w:id="144" w:name="_Toc313483595"/>
      <w:bookmarkStart w:id="145" w:name="_Toc312695509"/>
    </w:p>
    <w:p>
      <w:pPr>
        <w:jc w:val="center"/>
        <w:rPr>
          <w:rFonts w:ascii="新宋体" w:hAnsi="新宋体" w:eastAsia="新宋体"/>
          <w:b/>
          <w:color w:val="000000"/>
          <w:sz w:val="28"/>
          <w:szCs w:val="28"/>
          <w:lang w:val="zh-CN"/>
        </w:rPr>
      </w:pPr>
      <w:r>
        <w:rPr>
          <w:rFonts w:hint="eastAsia" w:ascii="新宋体" w:hAnsi="新宋体" w:eastAsia="新宋体"/>
          <w:b/>
          <w:color w:val="000000"/>
          <w:sz w:val="28"/>
          <w:szCs w:val="28"/>
          <w:lang w:val="zh-CN"/>
        </w:rPr>
        <w:t>法人代表</w:t>
      </w:r>
      <w:r>
        <w:rPr>
          <w:rFonts w:ascii="新宋体" w:hAnsi="新宋体" w:eastAsia="新宋体"/>
          <w:b/>
          <w:color w:val="000000"/>
          <w:sz w:val="28"/>
          <w:szCs w:val="28"/>
          <w:lang w:val="zh-CN"/>
        </w:rPr>
        <w:t>授权</w:t>
      </w:r>
      <w:r>
        <w:rPr>
          <w:rFonts w:hint="eastAsia" w:ascii="新宋体" w:hAnsi="新宋体" w:eastAsia="新宋体"/>
          <w:b/>
          <w:color w:val="000000"/>
          <w:sz w:val="28"/>
          <w:szCs w:val="28"/>
          <w:lang w:val="zh-CN"/>
        </w:rPr>
        <w:t>委托书</w:t>
      </w:r>
      <w:bookmarkEnd w:id="143"/>
      <w:bookmarkEnd w:id="144"/>
      <w:bookmarkEnd w:id="145"/>
    </w:p>
    <w:p>
      <w:pPr>
        <w:autoSpaceDE w:val="0"/>
        <w:autoSpaceDN w:val="0"/>
        <w:adjustRightInd w:val="0"/>
        <w:spacing w:line="360" w:lineRule="auto"/>
        <w:ind w:firstLine="425"/>
        <w:rPr>
          <w:rFonts w:ascii="新宋体" w:hAnsi="新宋体" w:eastAsia="新宋体" w:cs="宋体"/>
          <w:color w:val="000000"/>
          <w:szCs w:val="21"/>
          <w:lang w:val="zh-CN"/>
        </w:rPr>
      </w:pPr>
    </w:p>
    <w:p>
      <w:pPr>
        <w:autoSpaceDE w:val="0"/>
        <w:autoSpaceDN w:val="0"/>
        <w:adjustRightInd w:val="0"/>
        <w:spacing w:line="360" w:lineRule="auto"/>
        <w:ind w:firstLine="420"/>
        <w:jc w:val="left"/>
        <w:rPr>
          <w:rFonts w:ascii="新宋体" w:hAnsi="新宋体" w:eastAsia="新宋体"/>
          <w:color w:val="000000"/>
          <w:szCs w:val="21"/>
        </w:rPr>
      </w:pPr>
      <w:r>
        <w:rPr>
          <w:rFonts w:hint="eastAsia" w:ascii="新宋体" w:hAnsi="新宋体" w:eastAsia="新宋体" w:cs="宋体"/>
          <w:color w:val="000000"/>
          <w:szCs w:val="21"/>
          <w:lang w:val="zh-CN"/>
        </w:rPr>
        <w:t>本授权委托书声明：我（姓名）系（投标人名称）的法定代表人代表（投标人名称），授权委托</w:t>
      </w:r>
      <w:r>
        <w:rPr>
          <w:rFonts w:hint="eastAsia" w:ascii="新宋体" w:hAnsi="新宋体" w:eastAsia="新宋体" w:cs="宋体"/>
          <w:color w:val="000000"/>
          <w:szCs w:val="21"/>
          <w:u w:val="single"/>
          <w:lang w:val="zh-CN"/>
        </w:rPr>
        <w:t>（</w:t>
      </w:r>
      <w:r>
        <w:rPr>
          <w:rFonts w:hint="eastAsia" w:ascii="新宋体" w:hAnsi="新宋体" w:eastAsia="新宋体" w:cs="宋体"/>
          <w:color w:val="000000"/>
          <w:szCs w:val="21"/>
          <w:lang w:val="zh-CN"/>
        </w:rPr>
        <w:t>单位名称）的（姓名）为我公司代理人，以本公司的名义参加江苏如皋农村商业银行股份有限公司所组织实施的编号为</w:t>
      </w:r>
      <w:r>
        <w:rPr>
          <w:rFonts w:hint="eastAsia" w:ascii="新宋体" w:hAnsi="新宋体" w:eastAsia="新宋体" w:cs="宋体"/>
          <w:color w:val="000000"/>
          <w:szCs w:val="21"/>
          <w:u w:val="single"/>
          <w:lang w:val="zh-CN"/>
        </w:rPr>
        <w:t xml:space="preserve">： </w:t>
      </w:r>
      <w:r>
        <w:rPr>
          <w:rFonts w:ascii="新宋体" w:hAnsi="新宋体" w:eastAsia="新宋体" w:cs="宋体"/>
          <w:color w:val="000000"/>
          <w:szCs w:val="21"/>
          <w:u w:val="single"/>
          <w:lang w:val="zh-CN"/>
        </w:rPr>
        <w:t xml:space="preserve">   </w:t>
      </w:r>
      <w:r>
        <w:rPr>
          <w:rFonts w:hint="eastAsia" w:ascii="新宋体" w:hAnsi="新宋体" w:eastAsia="新宋体" w:cs="宋体"/>
          <w:color w:val="000000"/>
          <w:szCs w:val="21"/>
          <w:u w:val="single"/>
          <w:lang w:val="zh-CN"/>
        </w:rPr>
        <w:t xml:space="preserve">  </w:t>
      </w:r>
      <w:r>
        <w:rPr>
          <w:rFonts w:hint="eastAsia" w:ascii="新宋体" w:hAnsi="新宋体" w:eastAsia="新宋体" w:cs="宋体"/>
          <w:color w:val="000000"/>
          <w:szCs w:val="21"/>
          <w:lang w:val="zh-CN"/>
        </w:rPr>
        <w:t>号邀请招标的活动。代理人在开标、评标、合同谈判过程中所签署的一切文件和处理与这有关的一切事务，我均予以承认。</w:t>
      </w:r>
    </w:p>
    <w:p>
      <w:pPr>
        <w:autoSpaceDE w:val="0"/>
        <w:autoSpaceDN w:val="0"/>
        <w:adjustRightInd w:val="0"/>
        <w:spacing w:line="360" w:lineRule="auto"/>
        <w:ind w:firstLine="420"/>
        <w:rPr>
          <w:rFonts w:ascii="新宋体" w:hAnsi="新宋体" w:eastAsia="新宋体"/>
          <w:color w:val="000000"/>
          <w:szCs w:val="21"/>
        </w:rPr>
      </w:pPr>
      <w:r>
        <w:rPr>
          <w:rFonts w:hint="eastAsia" w:ascii="新宋体" w:hAnsi="新宋体" w:eastAsia="新宋体" w:cs="宋体"/>
          <w:color w:val="000000"/>
          <w:szCs w:val="21"/>
          <w:lang w:val="zh-CN"/>
        </w:rPr>
        <w:t>代理人在授权委托书有效期内签署的所有文件不因授权委托的撤销而失效，除非有撤销授权委托的书面通知，本授权委托书自投标开始至合同履行完毕止。</w:t>
      </w:r>
    </w:p>
    <w:p>
      <w:pPr>
        <w:autoSpaceDE w:val="0"/>
        <w:autoSpaceDN w:val="0"/>
        <w:adjustRightInd w:val="0"/>
        <w:spacing w:line="360" w:lineRule="auto"/>
        <w:ind w:firstLine="425"/>
        <w:rPr>
          <w:rFonts w:ascii="新宋体" w:hAnsi="新宋体" w:eastAsia="新宋体"/>
          <w:color w:val="000000"/>
          <w:szCs w:val="21"/>
        </w:rPr>
      </w:pPr>
      <w:r>
        <w:rPr>
          <w:rFonts w:hint="eastAsia" w:ascii="新宋体" w:hAnsi="新宋体" w:eastAsia="新宋体" w:cs="宋体"/>
          <w:color w:val="000000"/>
          <w:szCs w:val="21"/>
          <w:lang w:val="zh-CN"/>
        </w:rPr>
        <w:t>代理人无转委托权。特此委托。</w:t>
      </w:r>
    </w:p>
    <w:p>
      <w:pPr>
        <w:autoSpaceDE w:val="0"/>
        <w:autoSpaceDN w:val="0"/>
        <w:adjustRightInd w:val="0"/>
        <w:spacing w:line="360" w:lineRule="auto"/>
        <w:ind w:firstLine="425"/>
        <w:rPr>
          <w:rFonts w:ascii="新宋体" w:hAnsi="新宋体" w:eastAsia="新宋体" w:cs="宋体"/>
          <w:color w:val="000000"/>
          <w:szCs w:val="21"/>
          <w:lang w:val="zh-CN"/>
        </w:rPr>
      </w:pPr>
    </w:p>
    <w:p>
      <w:pPr>
        <w:autoSpaceDE w:val="0"/>
        <w:autoSpaceDN w:val="0"/>
        <w:adjustRightInd w:val="0"/>
        <w:spacing w:line="360" w:lineRule="auto"/>
        <w:ind w:firstLine="425"/>
        <w:rPr>
          <w:rFonts w:ascii="新宋体" w:hAnsi="新宋体" w:eastAsia="新宋体"/>
          <w:color w:val="000000"/>
          <w:szCs w:val="21"/>
        </w:rPr>
      </w:pPr>
      <w:r>
        <w:rPr>
          <w:rFonts w:hint="eastAsia" w:ascii="新宋体" w:hAnsi="新宋体" w:eastAsia="新宋体" w:cs="宋体"/>
          <w:color w:val="000000"/>
          <w:szCs w:val="21"/>
          <w:lang w:val="zh-CN"/>
        </w:rPr>
        <w:t>投标人：（公章）</w:t>
      </w:r>
    </w:p>
    <w:p>
      <w:pPr>
        <w:autoSpaceDE w:val="0"/>
        <w:autoSpaceDN w:val="0"/>
        <w:adjustRightInd w:val="0"/>
        <w:spacing w:line="360" w:lineRule="auto"/>
        <w:ind w:firstLine="425"/>
        <w:rPr>
          <w:rFonts w:ascii="新宋体" w:hAnsi="新宋体" w:eastAsia="新宋体"/>
          <w:color w:val="000000"/>
          <w:szCs w:val="21"/>
        </w:rPr>
      </w:pPr>
      <w:r>
        <w:rPr>
          <w:rFonts w:hint="eastAsia" w:ascii="新宋体" w:hAnsi="新宋体" w:eastAsia="新宋体" w:cs="宋体"/>
          <w:color w:val="000000"/>
          <w:szCs w:val="21"/>
          <w:lang w:val="zh-CN"/>
        </w:rPr>
        <w:t>法定代表人：（签字或签章）</w:t>
      </w:r>
    </w:p>
    <w:p>
      <w:pPr>
        <w:autoSpaceDE w:val="0"/>
        <w:autoSpaceDN w:val="0"/>
        <w:adjustRightInd w:val="0"/>
        <w:spacing w:line="360" w:lineRule="auto"/>
        <w:ind w:firstLine="425"/>
        <w:rPr>
          <w:rFonts w:ascii="新宋体" w:hAnsi="新宋体" w:eastAsia="新宋体"/>
          <w:color w:val="000000"/>
          <w:szCs w:val="21"/>
        </w:rPr>
      </w:pPr>
      <w:r>
        <w:rPr>
          <w:rFonts w:hint="eastAsia" w:ascii="新宋体" w:hAnsi="新宋体" w:eastAsia="新宋体" w:cs="宋体"/>
          <w:color w:val="000000"/>
          <w:szCs w:val="21"/>
          <w:lang w:val="zh-CN"/>
        </w:rPr>
        <w:t>代理人：（签字）</w:t>
      </w:r>
    </w:p>
    <w:p>
      <w:pPr>
        <w:autoSpaceDE w:val="0"/>
        <w:autoSpaceDN w:val="0"/>
        <w:adjustRightInd w:val="0"/>
        <w:spacing w:line="360" w:lineRule="auto"/>
        <w:ind w:firstLine="425"/>
        <w:jc w:val="right"/>
        <w:rPr>
          <w:rFonts w:ascii="新宋体" w:hAnsi="新宋体" w:eastAsia="新宋体" w:cs="宋体"/>
          <w:color w:val="000000"/>
          <w:szCs w:val="21"/>
          <w:lang w:val="zh-CN"/>
        </w:rPr>
      </w:pPr>
    </w:p>
    <w:p>
      <w:pPr>
        <w:autoSpaceDE w:val="0"/>
        <w:autoSpaceDN w:val="0"/>
        <w:adjustRightInd w:val="0"/>
        <w:spacing w:line="360" w:lineRule="auto"/>
        <w:ind w:firstLine="425"/>
        <w:jc w:val="right"/>
        <w:rPr>
          <w:rFonts w:ascii="新宋体" w:hAnsi="新宋体" w:eastAsia="新宋体" w:cs="宋体"/>
          <w:color w:val="000000"/>
          <w:szCs w:val="21"/>
          <w:lang w:val="zh-CN"/>
        </w:rPr>
      </w:pPr>
    </w:p>
    <w:p>
      <w:pPr>
        <w:autoSpaceDE w:val="0"/>
        <w:autoSpaceDN w:val="0"/>
        <w:adjustRightInd w:val="0"/>
        <w:spacing w:line="360" w:lineRule="auto"/>
        <w:ind w:firstLine="425"/>
        <w:jc w:val="right"/>
        <w:rPr>
          <w:rFonts w:ascii="新宋体" w:hAnsi="新宋体" w:eastAsia="新宋体" w:cs="宋体"/>
          <w:color w:val="000000"/>
          <w:szCs w:val="21"/>
          <w:lang w:val="zh-CN"/>
        </w:rPr>
      </w:pPr>
    </w:p>
    <w:p>
      <w:pPr>
        <w:autoSpaceDE w:val="0"/>
        <w:autoSpaceDN w:val="0"/>
        <w:adjustRightInd w:val="0"/>
        <w:spacing w:line="360" w:lineRule="auto"/>
        <w:ind w:firstLine="425"/>
        <w:jc w:val="center"/>
        <w:rPr>
          <w:rFonts w:ascii="新宋体" w:hAnsi="新宋体" w:eastAsia="新宋体"/>
          <w:color w:val="000000"/>
          <w:szCs w:val="21"/>
        </w:rPr>
      </w:pPr>
      <w:r>
        <w:rPr>
          <w:rFonts w:hint="eastAsia" w:ascii="新宋体" w:hAnsi="新宋体" w:eastAsia="新宋体" w:cs="宋体"/>
          <w:color w:val="000000"/>
          <w:szCs w:val="21"/>
          <w:lang w:val="zh-CN"/>
        </w:rPr>
        <w:t xml:space="preserve">日期：    </w:t>
      </w:r>
      <w:r>
        <w:rPr>
          <w:rFonts w:ascii="新宋体" w:hAnsi="新宋体" w:eastAsia="新宋体" w:cs="宋体"/>
          <w:color w:val="000000"/>
          <w:szCs w:val="21"/>
          <w:lang w:val="zh-CN"/>
        </w:rPr>
        <w:t>2019</w:t>
      </w:r>
      <w:r>
        <w:rPr>
          <w:rFonts w:hint="eastAsia" w:ascii="新宋体" w:hAnsi="新宋体" w:eastAsia="新宋体" w:cs="宋体"/>
          <w:color w:val="000000"/>
          <w:szCs w:val="21"/>
          <w:lang w:val="zh-CN"/>
        </w:rPr>
        <w:t xml:space="preserve"> 年 </w:t>
      </w:r>
      <w:r>
        <w:rPr>
          <w:rFonts w:hint="eastAsia" w:ascii="新宋体" w:hAnsi="新宋体" w:eastAsia="新宋体" w:cs="宋体"/>
          <w:color w:val="000000"/>
          <w:szCs w:val="21"/>
        </w:rPr>
        <w:t>4</w:t>
      </w:r>
      <w:r>
        <w:rPr>
          <w:rFonts w:hint="eastAsia" w:ascii="新宋体" w:hAnsi="新宋体" w:eastAsia="新宋体" w:cs="宋体"/>
          <w:color w:val="000000"/>
          <w:szCs w:val="21"/>
          <w:lang w:val="zh-CN"/>
        </w:rPr>
        <w:t xml:space="preserve"> 月 </w:t>
      </w:r>
      <w:r>
        <w:rPr>
          <w:rFonts w:ascii="新宋体" w:hAnsi="新宋体" w:eastAsia="新宋体" w:cs="宋体"/>
          <w:color w:val="000000"/>
          <w:szCs w:val="21"/>
          <w:lang w:val="zh-CN"/>
        </w:rPr>
        <w:t xml:space="preserve"> </w:t>
      </w:r>
      <w:r>
        <w:rPr>
          <w:rFonts w:hint="eastAsia" w:ascii="新宋体" w:hAnsi="新宋体" w:eastAsia="新宋体" w:cs="宋体"/>
          <w:color w:val="000000"/>
          <w:szCs w:val="21"/>
          <w:lang w:val="zh-CN"/>
        </w:rPr>
        <w:t xml:space="preserve">  日</w:t>
      </w:r>
    </w:p>
    <w:p>
      <w:pPr>
        <w:autoSpaceDE w:val="0"/>
        <w:autoSpaceDN w:val="0"/>
        <w:adjustRightInd w:val="0"/>
        <w:spacing w:line="360" w:lineRule="auto"/>
        <w:rPr>
          <w:rFonts w:ascii="新宋体" w:hAnsi="新宋体" w:eastAsia="新宋体"/>
          <w:color w:val="000000"/>
          <w:szCs w:val="21"/>
        </w:rPr>
      </w:pPr>
    </w:p>
    <w:p>
      <w:pPr>
        <w:autoSpaceDE w:val="0"/>
        <w:autoSpaceDN w:val="0"/>
        <w:adjustRightInd w:val="0"/>
        <w:spacing w:line="360" w:lineRule="auto"/>
        <w:rPr>
          <w:rFonts w:ascii="新宋体" w:hAnsi="新宋体" w:eastAsia="新宋体"/>
          <w:color w:val="000000"/>
          <w:szCs w:val="21"/>
        </w:rPr>
      </w:pPr>
    </w:p>
    <w:p>
      <w:pPr>
        <w:pStyle w:val="24"/>
        <w:rPr>
          <w:rFonts w:ascii="新宋体" w:hAnsi="新宋体" w:eastAsia="新宋体"/>
          <w:bCs w:val="0"/>
          <w:color w:val="000000"/>
          <w:szCs w:val="21"/>
        </w:rPr>
      </w:pPr>
      <w:r>
        <w:rPr>
          <w:rFonts w:ascii="新宋体" w:hAnsi="新宋体" w:eastAsia="新宋体"/>
          <w:color w:val="000000"/>
          <w:szCs w:val="21"/>
        </w:rPr>
        <w:br w:type="page"/>
      </w:r>
      <w:bookmarkStart w:id="146" w:name="_Toc3215857"/>
      <w:r>
        <w:rPr>
          <w:rFonts w:ascii="新宋体" w:hAnsi="新宋体" w:eastAsia="新宋体"/>
          <w:color w:val="000000"/>
          <w:lang w:val="zh-CN"/>
        </w:rPr>
        <w:t>格式2、投标函</w:t>
      </w:r>
      <w:bookmarkEnd w:id="146"/>
    </w:p>
    <w:p>
      <w:pPr>
        <w:autoSpaceDE w:val="0"/>
        <w:autoSpaceDN w:val="0"/>
        <w:adjustRightInd w:val="0"/>
        <w:spacing w:line="360" w:lineRule="exact"/>
        <w:jc w:val="center"/>
        <w:rPr>
          <w:rFonts w:ascii="新宋体" w:hAnsi="新宋体" w:eastAsia="新宋体"/>
          <w:b/>
          <w:color w:val="000000"/>
          <w:sz w:val="30"/>
          <w:szCs w:val="30"/>
        </w:rPr>
      </w:pPr>
      <w:r>
        <w:rPr>
          <w:rFonts w:hint="eastAsia" w:ascii="新宋体" w:hAnsi="新宋体" w:eastAsia="新宋体" w:cs="宋体"/>
          <w:b/>
          <w:color w:val="000000"/>
          <w:sz w:val="30"/>
          <w:szCs w:val="30"/>
          <w:lang w:val="zh-CN"/>
        </w:rPr>
        <w:t>投标函</w:t>
      </w:r>
    </w:p>
    <w:p>
      <w:pPr>
        <w:autoSpaceDE w:val="0"/>
        <w:autoSpaceDN w:val="0"/>
        <w:adjustRightInd w:val="0"/>
        <w:spacing w:line="360" w:lineRule="exact"/>
        <w:rPr>
          <w:rFonts w:ascii="新宋体" w:hAnsi="新宋体" w:eastAsia="新宋体" w:cs="宋体"/>
          <w:color w:val="000000"/>
          <w:szCs w:val="21"/>
          <w:lang w:val="zh-CN"/>
        </w:rPr>
      </w:pPr>
    </w:p>
    <w:p>
      <w:pPr>
        <w:autoSpaceDE w:val="0"/>
        <w:autoSpaceDN w:val="0"/>
        <w:adjustRightInd w:val="0"/>
        <w:spacing w:line="420" w:lineRule="exact"/>
        <w:rPr>
          <w:rFonts w:ascii="新宋体" w:hAnsi="新宋体" w:eastAsia="新宋体"/>
          <w:color w:val="000000"/>
          <w:szCs w:val="21"/>
        </w:rPr>
      </w:pPr>
      <w:r>
        <w:rPr>
          <w:rFonts w:hint="eastAsia" w:ascii="新宋体" w:hAnsi="新宋体" w:eastAsia="新宋体"/>
          <w:color w:val="000000"/>
          <w:szCs w:val="21"/>
          <w:u w:val="single"/>
          <w:lang w:val="zh-CN"/>
        </w:rPr>
        <w:t>江苏如皋农村商业银行股份有限公司</w:t>
      </w:r>
      <w:r>
        <w:rPr>
          <w:rFonts w:ascii="新宋体" w:hAnsi="新宋体" w:eastAsia="新宋体"/>
          <w:color w:val="000000"/>
          <w:szCs w:val="21"/>
          <w:lang w:val="zh-CN"/>
        </w:rPr>
        <w:t>：</w:t>
      </w:r>
    </w:p>
    <w:p>
      <w:pPr>
        <w:autoSpaceDE w:val="0"/>
        <w:autoSpaceDN w:val="0"/>
        <w:adjustRightInd w:val="0"/>
        <w:spacing w:line="420" w:lineRule="exact"/>
        <w:rPr>
          <w:rFonts w:ascii="新宋体" w:hAnsi="新宋体" w:eastAsia="新宋体"/>
          <w:color w:val="000000"/>
          <w:szCs w:val="21"/>
          <w:lang w:val="zh-CN"/>
        </w:rPr>
      </w:pPr>
      <w:r>
        <w:rPr>
          <w:rFonts w:ascii="新宋体" w:hAnsi="新宋体" w:eastAsia="新宋体"/>
          <w:color w:val="000000"/>
          <w:szCs w:val="21"/>
          <w:lang w:val="zh-CN"/>
        </w:rPr>
        <w:t xml:space="preserve">        我们收到贵</w:t>
      </w:r>
      <w:r>
        <w:rPr>
          <w:rFonts w:hint="eastAsia" w:ascii="新宋体" w:hAnsi="新宋体" w:eastAsia="新宋体"/>
          <w:color w:val="000000"/>
          <w:szCs w:val="21"/>
          <w:lang w:val="zh-CN"/>
        </w:rPr>
        <w:t>行</w:t>
      </w:r>
      <w:r>
        <w:rPr>
          <w:rFonts w:ascii="新宋体" w:hAnsi="新宋体" w:eastAsia="新宋体"/>
          <w:color w:val="000000"/>
          <w:szCs w:val="21"/>
          <w:lang w:val="zh-CN"/>
        </w:rPr>
        <w:t>号招标文件，经仔细阅读和研究，我们决定参加投标。</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1、我们愿意按照招标文件的一切要求，提供包括完成该项目全部内容的设备、材料及安装、调试、人工、机械、保险、劳保、各种税费以及质保期</w:t>
      </w:r>
      <w:r>
        <w:rPr>
          <w:rFonts w:hint="eastAsia" w:ascii="新宋体" w:hAnsi="新宋体" w:eastAsia="新宋体"/>
          <w:color w:val="000000"/>
          <w:szCs w:val="21"/>
          <w:lang w:val="zh-CN"/>
        </w:rPr>
        <w:t>期</w:t>
      </w:r>
      <w:r>
        <w:rPr>
          <w:rFonts w:ascii="新宋体" w:hAnsi="新宋体" w:eastAsia="新宋体"/>
          <w:color w:val="000000"/>
          <w:szCs w:val="21"/>
          <w:lang w:val="zh-CN"/>
        </w:rPr>
        <w:t>间的一切费用。总价格为人民币大写</w:t>
      </w:r>
      <w:r>
        <w:rPr>
          <w:rFonts w:hint="eastAsia" w:ascii="新宋体" w:hAnsi="新宋体" w:eastAsia="新宋体"/>
          <w:color w:val="000000"/>
          <w:szCs w:val="21"/>
          <w:lang w:val="zh-CN"/>
        </w:rPr>
        <w:t xml:space="preserve">：   </w:t>
      </w:r>
      <w:r>
        <w:rPr>
          <w:rFonts w:ascii="新宋体" w:hAnsi="新宋体" w:eastAsia="新宋体"/>
          <w:color w:val="000000"/>
          <w:szCs w:val="21"/>
          <w:lang w:val="zh-CN"/>
        </w:rPr>
        <w:t xml:space="preserve"> 元</w:t>
      </w:r>
      <w:r>
        <w:rPr>
          <w:rFonts w:hint="eastAsia" w:ascii="新宋体" w:hAnsi="新宋体" w:eastAsia="新宋体"/>
          <w:color w:val="000000"/>
          <w:szCs w:val="21"/>
          <w:lang w:val="zh-CN"/>
        </w:rPr>
        <w:t>整</w:t>
      </w:r>
      <w:r>
        <w:rPr>
          <w:rFonts w:ascii="新宋体" w:hAnsi="新宋体" w:eastAsia="新宋体"/>
          <w:color w:val="000000"/>
          <w:szCs w:val="21"/>
          <w:lang w:val="zh-CN"/>
        </w:rPr>
        <w:t xml:space="preserve">(¥    )。明细见《投标报价表》 </w:t>
      </w:r>
      <w:r>
        <w:rPr>
          <w:rFonts w:hint="eastAsia" w:ascii="新宋体" w:hAnsi="新宋体" w:eastAsia="新宋体"/>
          <w:color w:val="000000"/>
          <w:szCs w:val="21"/>
          <w:lang w:val="zh-CN"/>
        </w:rPr>
        <w:t>。</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2、如果我们的投标书被接受，我们将严格履行招标文件中规定的每一项要求，按期、按质、按量履行合同的义务。</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3、我们同意按招标文件中的规定，本投标书的有效期限为开标后</w:t>
      </w:r>
      <w:r>
        <w:rPr>
          <w:rFonts w:ascii="新宋体" w:hAnsi="新宋体" w:eastAsia="新宋体"/>
          <w:color w:val="000000"/>
          <w:szCs w:val="21"/>
          <w:u w:val="single"/>
          <w:lang w:val="zh-CN"/>
        </w:rPr>
        <w:t xml:space="preserve"> 30</w:t>
      </w:r>
      <w:r>
        <w:rPr>
          <w:rFonts w:ascii="新宋体" w:hAnsi="新宋体" w:eastAsia="新宋体"/>
          <w:color w:val="000000"/>
          <w:szCs w:val="21"/>
          <w:lang w:val="zh-CN"/>
        </w:rPr>
        <w:t>天。</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4、我们愿意提供招标方在招标文件中要求的所有资料。</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5、我们认为你们有权决定中标者，还认为你们有权接受或拒绝所有的投标人。</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6、我们愿意遵守招标通告及招标文件中所列的收费标准。</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7、我们承诺该项投标在开标后的全过程中保持有效，不作任何更改和变动。</w:t>
      </w:r>
    </w:p>
    <w:p>
      <w:pPr>
        <w:ind w:firstLine="420" w:firstLineChars="200"/>
        <w:rPr>
          <w:rFonts w:ascii="新宋体" w:hAnsi="新宋体" w:eastAsia="新宋体"/>
          <w:bCs/>
          <w:color w:val="000000"/>
          <w:szCs w:val="21"/>
          <w:lang w:val="zh-CN"/>
        </w:rPr>
      </w:pPr>
      <w:bookmarkStart w:id="147" w:name="_Toc313483596"/>
      <w:bookmarkEnd w:id="147"/>
      <w:bookmarkStart w:id="148" w:name="_Toc312695510"/>
      <w:bookmarkEnd w:id="148"/>
      <w:bookmarkStart w:id="149" w:name="_Toc312695325"/>
      <w:bookmarkEnd w:id="149"/>
      <w:r>
        <w:rPr>
          <w:rFonts w:ascii="新宋体" w:hAnsi="新宋体" w:eastAsia="新宋体"/>
          <w:color w:val="000000"/>
          <w:lang w:val="zh-CN"/>
        </w:rPr>
        <w:t>8</w:t>
      </w:r>
      <w:r>
        <w:rPr>
          <w:rFonts w:ascii="新宋体" w:hAnsi="新宋体" w:eastAsia="新宋体"/>
          <w:color w:val="000000"/>
          <w:szCs w:val="21"/>
          <w:lang w:val="zh-CN"/>
        </w:rPr>
        <w:t>、</w:t>
      </w:r>
      <w:r>
        <w:rPr>
          <w:rFonts w:ascii="新宋体" w:hAnsi="新宋体" w:eastAsia="新宋体"/>
          <w:bCs/>
          <w:color w:val="000000"/>
          <w:szCs w:val="21"/>
          <w:lang w:val="zh-CN"/>
        </w:rPr>
        <w:t>我们愿意按照贵公司招标文件的要求提供一正</w:t>
      </w:r>
      <w:r>
        <w:rPr>
          <w:rFonts w:hint="eastAsia" w:ascii="新宋体" w:hAnsi="新宋体" w:eastAsia="新宋体"/>
          <w:bCs/>
          <w:color w:val="000000"/>
          <w:szCs w:val="21"/>
          <w:lang w:val="zh-CN"/>
        </w:rPr>
        <w:t>一</w:t>
      </w:r>
      <w:r>
        <w:rPr>
          <w:rFonts w:ascii="新宋体" w:hAnsi="新宋体" w:eastAsia="新宋体"/>
          <w:bCs/>
          <w:color w:val="000000"/>
          <w:szCs w:val="21"/>
          <w:lang w:val="zh-CN"/>
        </w:rPr>
        <w:t>副全部投标文件，并保证全部投标文件内容真实有效，若有虚假，我公司愿意承担与此相关的一切责任；</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9、我们愿意按照《中华人民共和国合同法》履行自己应该承担的全部责任。</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10、综合说明：</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（1）伴随服务及配合措施；</w:t>
      </w:r>
    </w:p>
    <w:p>
      <w:pPr>
        <w:autoSpaceDE w:val="0"/>
        <w:autoSpaceDN w:val="0"/>
        <w:adjustRightInd w:val="0"/>
        <w:spacing w:line="420" w:lineRule="exact"/>
        <w:ind w:firstLine="420" w:firstLineChars="200"/>
        <w:rPr>
          <w:rFonts w:ascii="新宋体" w:hAnsi="新宋体" w:eastAsia="新宋体"/>
          <w:color w:val="000000"/>
          <w:szCs w:val="21"/>
        </w:rPr>
      </w:pPr>
      <w:r>
        <w:rPr>
          <w:rFonts w:ascii="新宋体" w:hAnsi="新宋体" w:eastAsia="新宋体"/>
          <w:color w:val="000000"/>
          <w:szCs w:val="21"/>
        </w:rPr>
        <w:t>（2）</w:t>
      </w:r>
      <w:r>
        <w:rPr>
          <w:rFonts w:ascii="新宋体" w:hAnsi="新宋体" w:eastAsia="新宋体"/>
          <w:color w:val="000000"/>
          <w:szCs w:val="21"/>
          <w:lang w:val="zh-CN"/>
        </w:rPr>
        <w:t>要求甲方提供的配合</w:t>
      </w:r>
      <w:r>
        <w:rPr>
          <w:rFonts w:ascii="新宋体" w:hAnsi="新宋体" w:eastAsia="新宋体"/>
          <w:color w:val="000000"/>
          <w:szCs w:val="21"/>
        </w:rPr>
        <w:t>；</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（3）对招标文件有不同意见的偏离说明；</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（4）其它说明。</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所有有关标书的函电，请按下列地址联系：</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单位：联系人：</w:t>
      </w:r>
    </w:p>
    <w:p>
      <w:pPr>
        <w:autoSpaceDE w:val="0"/>
        <w:autoSpaceDN w:val="0"/>
        <w:adjustRightInd w:val="0"/>
        <w:spacing w:line="420" w:lineRule="exact"/>
        <w:ind w:firstLine="420" w:firstLineChars="200"/>
        <w:rPr>
          <w:rFonts w:ascii="新宋体" w:hAnsi="新宋体" w:eastAsia="新宋体"/>
          <w:color w:val="000000"/>
          <w:szCs w:val="21"/>
          <w:lang w:val="zh-CN"/>
        </w:rPr>
      </w:pPr>
      <w:r>
        <w:rPr>
          <w:rFonts w:ascii="新宋体" w:hAnsi="新宋体" w:eastAsia="新宋体"/>
          <w:color w:val="000000"/>
          <w:szCs w:val="21"/>
          <w:lang w:val="zh-CN"/>
        </w:rPr>
        <w:t>地址：</w:t>
      </w:r>
    </w:p>
    <w:p>
      <w:pPr>
        <w:autoSpaceDE w:val="0"/>
        <w:autoSpaceDN w:val="0"/>
        <w:adjustRightInd w:val="0"/>
        <w:spacing w:line="420" w:lineRule="exact"/>
        <w:ind w:firstLine="420" w:firstLineChars="200"/>
        <w:rPr>
          <w:rFonts w:ascii="新宋体" w:hAnsi="新宋体" w:eastAsia="新宋体"/>
          <w:color w:val="000000"/>
          <w:szCs w:val="21"/>
        </w:rPr>
      </w:pPr>
      <w:r>
        <w:rPr>
          <w:rFonts w:ascii="新宋体" w:hAnsi="新宋体" w:eastAsia="新宋体"/>
          <w:color w:val="000000"/>
          <w:szCs w:val="21"/>
          <w:lang w:val="zh-CN"/>
        </w:rPr>
        <w:t>联系电话：</w:t>
      </w:r>
    </w:p>
    <w:p>
      <w:pPr>
        <w:autoSpaceDE w:val="0"/>
        <w:autoSpaceDN w:val="0"/>
        <w:adjustRightInd w:val="0"/>
        <w:spacing w:line="420" w:lineRule="exact"/>
        <w:ind w:left="3400" w:firstLine="425"/>
        <w:rPr>
          <w:rFonts w:ascii="新宋体" w:hAnsi="新宋体" w:eastAsia="新宋体"/>
          <w:color w:val="000000"/>
          <w:szCs w:val="21"/>
          <w:lang w:val="zh-CN"/>
        </w:rPr>
      </w:pPr>
    </w:p>
    <w:p>
      <w:pPr>
        <w:autoSpaceDE w:val="0"/>
        <w:autoSpaceDN w:val="0"/>
        <w:adjustRightInd w:val="0"/>
        <w:spacing w:line="420" w:lineRule="exact"/>
        <w:ind w:left="3400" w:firstLine="425"/>
        <w:rPr>
          <w:rFonts w:asciiTheme="minorEastAsia" w:hAnsiTheme="minorEastAsia" w:eastAsiaTheme="minorEastAsia"/>
          <w:color w:val="000000"/>
          <w:szCs w:val="21"/>
        </w:rPr>
      </w:pPr>
      <w:r>
        <w:rPr>
          <w:rFonts w:asciiTheme="minorEastAsia" w:hAnsiTheme="minorEastAsia" w:eastAsiaTheme="minorEastAsia"/>
          <w:color w:val="000000"/>
          <w:szCs w:val="21"/>
          <w:lang w:val="zh-CN"/>
        </w:rPr>
        <w:t>投标人：（公章）</w:t>
      </w:r>
    </w:p>
    <w:p>
      <w:pPr>
        <w:autoSpaceDE w:val="0"/>
        <w:autoSpaceDN w:val="0"/>
        <w:adjustRightInd w:val="0"/>
        <w:spacing w:line="420" w:lineRule="exact"/>
        <w:ind w:left="3825"/>
        <w:rPr>
          <w:rFonts w:asciiTheme="minorEastAsia" w:hAnsiTheme="minorEastAsia" w:eastAsiaTheme="minorEastAsia"/>
          <w:color w:val="000000"/>
          <w:szCs w:val="21"/>
        </w:rPr>
      </w:pPr>
      <w:r>
        <w:rPr>
          <w:rFonts w:asciiTheme="minorEastAsia" w:hAnsiTheme="minorEastAsia" w:eastAsiaTheme="minorEastAsia"/>
          <w:color w:val="000000"/>
          <w:szCs w:val="21"/>
          <w:lang w:val="zh-CN"/>
        </w:rPr>
        <w:t>法定代表人或授权委托人：（签字或签章）</w:t>
      </w:r>
    </w:p>
    <w:p>
      <w:pPr>
        <w:autoSpaceDE w:val="0"/>
        <w:autoSpaceDN w:val="0"/>
        <w:adjustRightInd w:val="0"/>
        <w:spacing w:line="420" w:lineRule="exact"/>
        <w:ind w:firstLine="3885" w:firstLineChars="1850"/>
        <w:rPr>
          <w:rFonts w:asciiTheme="minorEastAsia" w:hAnsiTheme="minorEastAsia" w:eastAsiaTheme="minorEastAsia"/>
          <w:color w:val="000000"/>
          <w:szCs w:val="21"/>
        </w:rPr>
      </w:pPr>
      <w:r>
        <w:rPr>
          <w:rFonts w:asciiTheme="minorEastAsia" w:hAnsiTheme="minorEastAsia" w:eastAsiaTheme="minorEastAsia"/>
          <w:color w:val="000000"/>
          <w:szCs w:val="21"/>
          <w:lang w:val="zh-CN"/>
        </w:rPr>
        <w:t>日期</w:t>
      </w:r>
      <w:r>
        <w:rPr>
          <w:rFonts w:asciiTheme="minorEastAsia" w:hAnsiTheme="minorEastAsia" w:eastAsiaTheme="minorEastAsia"/>
          <w:color w:val="000000"/>
          <w:szCs w:val="21"/>
        </w:rPr>
        <w:t xml:space="preserve">：     2019 </w:t>
      </w:r>
      <w:r>
        <w:rPr>
          <w:rFonts w:asciiTheme="minorEastAsia" w:hAnsiTheme="minorEastAsia" w:eastAsiaTheme="minorEastAsia"/>
          <w:color w:val="000000"/>
          <w:szCs w:val="21"/>
          <w:lang w:val="zh-CN"/>
        </w:rPr>
        <w:t>年</w:t>
      </w:r>
      <w:r>
        <w:rPr>
          <w:rFonts w:hint="eastAsia" w:asciiTheme="minorEastAsia" w:hAnsiTheme="minorEastAsia" w:eastAsiaTheme="minorEastAsia"/>
          <w:color w:val="000000"/>
          <w:szCs w:val="21"/>
          <w:lang w:val="zh-CN"/>
        </w:rPr>
        <w:t xml:space="preserve">  </w:t>
      </w:r>
      <w:r>
        <w:rPr>
          <w:rFonts w:hint="eastAsia" w:asciiTheme="minorEastAsia" w:hAnsiTheme="minorEastAsia" w:eastAsiaTheme="minorEastAsia"/>
          <w:color w:val="000000"/>
          <w:szCs w:val="21"/>
        </w:rPr>
        <w:t>4</w:t>
      </w:r>
      <w:r>
        <w:rPr>
          <w:rFonts w:hint="eastAsia" w:asciiTheme="minorEastAsia" w:hAnsiTheme="minorEastAsia" w:eastAsiaTheme="minorEastAsia"/>
          <w:color w:val="000000"/>
          <w:szCs w:val="21"/>
          <w:lang w:val="zh-CN"/>
        </w:rPr>
        <w:t xml:space="preserve"> </w:t>
      </w:r>
      <w:r>
        <w:rPr>
          <w:rFonts w:asciiTheme="minorEastAsia" w:hAnsiTheme="minorEastAsia" w:eastAsiaTheme="minorEastAsia"/>
          <w:color w:val="000000"/>
          <w:szCs w:val="21"/>
          <w:lang w:val="zh-CN"/>
        </w:rPr>
        <w:t>月</w:t>
      </w:r>
      <w:r>
        <w:rPr>
          <w:rFonts w:hint="eastAsia" w:asciiTheme="minorEastAsia" w:hAnsiTheme="minorEastAsia" w:eastAsiaTheme="minorEastAsia"/>
          <w:color w:val="000000"/>
          <w:szCs w:val="21"/>
          <w:lang w:val="zh-CN"/>
        </w:rPr>
        <w:t xml:space="preserve">    </w:t>
      </w:r>
      <w:r>
        <w:rPr>
          <w:rFonts w:asciiTheme="minorEastAsia" w:hAnsiTheme="minorEastAsia" w:eastAsiaTheme="minorEastAsia"/>
          <w:color w:val="000000"/>
          <w:szCs w:val="21"/>
          <w:lang w:val="zh-CN"/>
        </w:rPr>
        <w:t>日</w:t>
      </w:r>
    </w:p>
    <w:p>
      <w:pPr>
        <w:pStyle w:val="24"/>
        <w:rPr>
          <w:rFonts w:ascii="新宋体" w:hAnsi="新宋体" w:eastAsia="新宋体"/>
          <w:bCs w:val="0"/>
          <w:color w:val="000000"/>
          <w:szCs w:val="21"/>
        </w:rPr>
      </w:pPr>
      <w:r>
        <w:rPr>
          <w:rFonts w:ascii="新宋体" w:hAnsi="新宋体" w:eastAsia="新宋体"/>
          <w:b w:val="0"/>
          <w:bCs w:val="0"/>
          <w:color w:val="000000"/>
          <w:szCs w:val="21"/>
        </w:rPr>
        <w:br w:type="page"/>
      </w:r>
      <w:bookmarkStart w:id="150" w:name="_Toc3215858"/>
      <w:r>
        <w:rPr>
          <w:rFonts w:hint="eastAsia" w:ascii="新宋体" w:hAnsi="新宋体" w:eastAsia="新宋体"/>
          <w:color w:val="000000"/>
          <w:lang w:val="zh-CN"/>
        </w:rPr>
        <w:t>格式3、开标一览表格式</w:t>
      </w:r>
      <w:bookmarkEnd w:id="150"/>
    </w:p>
    <w:p>
      <w:pPr>
        <w:spacing w:line="360" w:lineRule="auto"/>
        <w:jc w:val="center"/>
        <w:rPr>
          <w:rFonts w:ascii="新宋体" w:hAnsi="新宋体" w:eastAsia="新宋体"/>
          <w:b/>
          <w:bCs/>
          <w:color w:val="000000"/>
          <w:sz w:val="28"/>
          <w:shd w:val="pct10" w:color="auto" w:fill="FFFFFF"/>
        </w:rPr>
      </w:pPr>
      <w:r>
        <w:rPr>
          <w:rFonts w:hint="eastAsia" w:ascii="新宋体" w:hAnsi="新宋体" w:eastAsia="新宋体"/>
          <w:b/>
          <w:bCs/>
          <w:color w:val="000000"/>
          <w:sz w:val="30"/>
        </w:rPr>
        <w:t>开 标 一 览 表</w:t>
      </w:r>
    </w:p>
    <w:p>
      <w:pPr>
        <w:spacing w:line="500" w:lineRule="exact"/>
        <w:rPr>
          <w:rFonts w:ascii="新宋体" w:hAnsi="新宋体" w:eastAsia="新宋体"/>
          <w:b/>
          <w:bCs/>
          <w:color w:val="000000"/>
        </w:rPr>
      </w:pPr>
      <w:r>
        <w:rPr>
          <w:rFonts w:hint="eastAsia" w:ascii="新宋体" w:hAnsi="新宋体" w:eastAsia="新宋体"/>
          <w:b/>
          <w:bCs/>
          <w:color w:val="000000"/>
        </w:rPr>
        <w:t xml:space="preserve">投标人名称（公章）：                           </w:t>
      </w:r>
    </w:p>
    <w:p>
      <w:pPr>
        <w:spacing w:line="500" w:lineRule="exact"/>
        <w:rPr>
          <w:rFonts w:ascii="新宋体" w:hAnsi="新宋体" w:eastAsia="新宋体"/>
          <w:b/>
          <w:bCs/>
          <w:color w:val="000000"/>
        </w:rPr>
      </w:pPr>
      <w:r>
        <w:rPr>
          <w:rFonts w:hint="eastAsia" w:ascii="新宋体" w:hAnsi="新宋体" w:eastAsia="新宋体"/>
          <w:b/>
          <w:bCs/>
          <w:color w:val="000000"/>
        </w:rPr>
        <w:t>法定代表人或授权代表（签字或盖章）：</w:t>
      </w:r>
    </w:p>
    <w:p>
      <w:pPr>
        <w:spacing w:line="500" w:lineRule="exact"/>
        <w:rPr>
          <w:rFonts w:ascii="新宋体" w:hAnsi="新宋体" w:eastAsia="新宋体"/>
          <w:color w:val="000000"/>
          <w:szCs w:val="21"/>
        </w:rPr>
      </w:pPr>
      <w:r>
        <w:rPr>
          <w:rFonts w:hint="eastAsia" w:ascii="新宋体" w:hAnsi="新宋体" w:eastAsia="新宋体"/>
          <w:b/>
          <w:bCs/>
          <w:color w:val="000000"/>
        </w:rPr>
        <w:t>招标</w:t>
      </w:r>
      <w:r>
        <w:rPr>
          <w:rFonts w:ascii="新宋体" w:hAnsi="新宋体" w:eastAsia="新宋体"/>
          <w:b/>
          <w:bCs/>
          <w:color w:val="000000"/>
        </w:rPr>
        <w:t>编号</w:t>
      </w:r>
      <w:r>
        <w:rPr>
          <w:rFonts w:hint="eastAsia" w:ascii="新宋体" w:hAnsi="新宋体" w:eastAsia="新宋体"/>
          <w:b/>
          <w:bCs/>
          <w:color w:val="000000"/>
        </w:rPr>
        <w:t>：</w:t>
      </w:r>
    </w:p>
    <w:p>
      <w:pPr>
        <w:spacing w:line="500" w:lineRule="exact"/>
        <w:ind w:right="420"/>
        <w:rPr>
          <w:rFonts w:ascii="新宋体" w:hAnsi="新宋体" w:eastAsia="新宋体"/>
          <w:color w:val="000000"/>
          <w:szCs w:val="21"/>
        </w:rPr>
      </w:pPr>
      <w:r>
        <w:rPr>
          <w:rFonts w:hint="eastAsia" w:ascii="新宋体" w:hAnsi="新宋体" w:eastAsia="新宋体"/>
          <w:color w:val="000000"/>
          <w:szCs w:val="21"/>
        </w:rPr>
        <w:t>货币单位（RMB）</w:t>
      </w:r>
    </w:p>
    <w:tbl>
      <w:tblPr>
        <w:tblStyle w:val="34"/>
        <w:tblW w:w="88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6"/>
        <w:gridCol w:w="2977"/>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jc w:val="center"/>
        </w:trPr>
        <w:tc>
          <w:tcPr>
            <w:tcW w:w="3506" w:type="dxa"/>
            <w:vAlign w:val="center"/>
          </w:tcPr>
          <w:p>
            <w:pPr>
              <w:jc w:val="center"/>
              <w:rPr>
                <w:rFonts w:ascii="新宋体" w:hAnsi="新宋体" w:eastAsia="新宋体"/>
                <w:b/>
                <w:color w:val="000000"/>
                <w:sz w:val="24"/>
              </w:rPr>
            </w:pPr>
            <w:r>
              <w:rPr>
                <w:rFonts w:hint="eastAsia" w:ascii="新宋体" w:hAnsi="新宋体" w:eastAsia="新宋体"/>
                <w:b/>
                <w:color w:val="000000"/>
                <w:sz w:val="24"/>
              </w:rPr>
              <w:t>项目名称</w:t>
            </w:r>
          </w:p>
        </w:tc>
        <w:tc>
          <w:tcPr>
            <w:tcW w:w="2977" w:type="dxa"/>
            <w:vAlign w:val="center"/>
          </w:tcPr>
          <w:p>
            <w:pPr>
              <w:jc w:val="center"/>
              <w:rPr>
                <w:rFonts w:ascii="新宋体" w:hAnsi="新宋体" w:eastAsia="新宋体"/>
                <w:b/>
                <w:color w:val="000000"/>
                <w:sz w:val="24"/>
              </w:rPr>
            </w:pPr>
            <w:r>
              <w:rPr>
                <w:rFonts w:hint="eastAsia" w:ascii="新宋体" w:hAnsi="新宋体" w:eastAsia="新宋体"/>
                <w:b/>
                <w:color w:val="000000"/>
                <w:sz w:val="24"/>
              </w:rPr>
              <w:t>报价</w:t>
            </w:r>
          </w:p>
        </w:tc>
        <w:tc>
          <w:tcPr>
            <w:tcW w:w="2342" w:type="dxa"/>
            <w:vAlign w:val="center"/>
          </w:tcPr>
          <w:p>
            <w:pPr>
              <w:jc w:val="center"/>
              <w:rPr>
                <w:rFonts w:ascii="新宋体" w:hAnsi="新宋体" w:eastAsia="新宋体"/>
                <w:b/>
                <w:color w:val="000000"/>
                <w:sz w:val="24"/>
              </w:rPr>
            </w:pPr>
            <w:r>
              <w:rPr>
                <w:rFonts w:hint="eastAsia" w:ascii="新宋体" w:hAnsi="新宋体" w:eastAsia="新宋体"/>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6" w:hRule="atLeast"/>
          <w:jc w:val="center"/>
        </w:trPr>
        <w:tc>
          <w:tcPr>
            <w:tcW w:w="3506" w:type="dxa"/>
            <w:vAlign w:val="center"/>
          </w:tcPr>
          <w:p>
            <w:pPr>
              <w:jc w:val="center"/>
              <w:rPr>
                <w:rFonts w:ascii="新宋体" w:hAnsi="新宋体" w:eastAsia="新宋体"/>
                <w:color w:val="000000"/>
                <w:sz w:val="24"/>
              </w:rPr>
            </w:pPr>
            <w:r>
              <w:rPr>
                <w:rFonts w:hint="eastAsia" w:ascii="新宋体" w:hAnsi="新宋体" w:eastAsia="新宋体"/>
                <w:color w:val="000000"/>
                <w:sz w:val="24"/>
              </w:rPr>
              <w:t>如皋</w:t>
            </w:r>
            <w:r>
              <w:rPr>
                <w:rFonts w:ascii="新宋体" w:hAnsi="新宋体" w:eastAsia="新宋体"/>
                <w:color w:val="000000"/>
                <w:sz w:val="24"/>
              </w:rPr>
              <w:t>农村商业行银行</w:t>
            </w:r>
            <w:r>
              <w:rPr>
                <w:rFonts w:hint="eastAsia" w:ascii="新宋体" w:hAnsi="新宋体" w:eastAsia="新宋体"/>
                <w:color w:val="000000"/>
                <w:sz w:val="24"/>
              </w:rPr>
              <w:t>北塔运维</w:t>
            </w:r>
            <w:r>
              <w:rPr>
                <w:rFonts w:ascii="新宋体" w:hAnsi="新宋体" w:eastAsia="新宋体"/>
                <w:color w:val="000000"/>
                <w:sz w:val="24"/>
              </w:rPr>
              <w:t>管理平台采购</w:t>
            </w:r>
            <w:r>
              <w:rPr>
                <w:rFonts w:hint="eastAsia" w:ascii="新宋体" w:hAnsi="新宋体" w:eastAsia="新宋体"/>
                <w:color w:val="000000"/>
                <w:sz w:val="24"/>
              </w:rPr>
              <w:t>与</w:t>
            </w:r>
            <w:r>
              <w:rPr>
                <w:rFonts w:ascii="新宋体" w:hAnsi="新宋体" w:eastAsia="新宋体"/>
                <w:color w:val="000000"/>
                <w:sz w:val="24"/>
              </w:rPr>
              <w:t>集成</w:t>
            </w:r>
            <w:r>
              <w:rPr>
                <w:rFonts w:hint="eastAsia" w:ascii="新宋体" w:hAnsi="新宋体" w:eastAsia="新宋体"/>
                <w:color w:val="000000"/>
                <w:sz w:val="24"/>
              </w:rPr>
              <w:t>服务</w:t>
            </w:r>
            <w:r>
              <w:rPr>
                <w:rFonts w:ascii="新宋体" w:hAnsi="新宋体" w:eastAsia="新宋体"/>
                <w:color w:val="000000"/>
                <w:sz w:val="24"/>
              </w:rPr>
              <w:t>项目</w:t>
            </w:r>
          </w:p>
        </w:tc>
        <w:tc>
          <w:tcPr>
            <w:tcW w:w="2977" w:type="dxa"/>
            <w:vAlign w:val="center"/>
          </w:tcPr>
          <w:p>
            <w:pPr>
              <w:jc w:val="center"/>
              <w:rPr>
                <w:rFonts w:ascii="新宋体" w:hAnsi="新宋体" w:eastAsia="新宋体"/>
                <w:color w:val="000000"/>
                <w:sz w:val="24"/>
              </w:rPr>
            </w:pPr>
          </w:p>
        </w:tc>
        <w:tc>
          <w:tcPr>
            <w:tcW w:w="2342" w:type="dxa"/>
            <w:vAlign w:val="center"/>
          </w:tcPr>
          <w:p>
            <w:pPr>
              <w:jc w:val="center"/>
              <w:rPr>
                <w:rFonts w:ascii="新宋体" w:hAnsi="新宋体" w:eastAsia="新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8825" w:type="dxa"/>
            <w:gridSpan w:val="3"/>
            <w:vAlign w:val="center"/>
          </w:tcPr>
          <w:p>
            <w:pPr>
              <w:rPr>
                <w:rFonts w:ascii="新宋体" w:hAnsi="新宋体" w:eastAsia="新宋体"/>
                <w:color w:val="000000"/>
                <w:sz w:val="24"/>
              </w:rPr>
            </w:pPr>
            <w:r>
              <w:rPr>
                <w:rFonts w:hint="eastAsia" w:ascii="新宋体" w:hAnsi="新宋体" w:eastAsia="新宋体"/>
                <w:color w:val="000000"/>
                <w:sz w:val="24"/>
              </w:rPr>
              <w:t>投标总价（大写）：</w:t>
            </w:r>
          </w:p>
        </w:tc>
      </w:tr>
    </w:tbl>
    <w:p>
      <w:pPr>
        <w:spacing w:line="360" w:lineRule="auto"/>
        <w:rPr>
          <w:rFonts w:ascii="新宋体" w:hAnsi="新宋体" w:eastAsia="新宋体"/>
          <w:color w:val="000000"/>
        </w:rPr>
      </w:pPr>
    </w:p>
    <w:p>
      <w:pPr>
        <w:spacing w:line="360" w:lineRule="exact"/>
        <w:ind w:firstLine="420" w:firstLineChars="200"/>
        <w:rPr>
          <w:rFonts w:ascii="新宋体" w:hAnsi="新宋体" w:eastAsia="新宋体"/>
          <w:bCs/>
          <w:color w:val="000000"/>
        </w:rPr>
      </w:pPr>
      <w:r>
        <w:rPr>
          <w:rFonts w:hint="eastAsia" w:ascii="新宋体" w:hAnsi="新宋体" w:eastAsia="新宋体"/>
          <w:color w:val="000000"/>
          <w:szCs w:val="21"/>
        </w:rPr>
        <w:t>注</w:t>
      </w:r>
      <w:r>
        <w:rPr>
          <w:rFonts w:hint="eastAsia" w:ascii="新宋体" w:hAnsi="新宋体" w:eastAsia="新宋体"/>
          <w:bCs/>
          <w:color w:val="000000"/>
        </w:rPr>
        <w:t>：</w:t>
      </w:r>
    </w:p>
    <w:p>
      <w:pPr>
        <w:numPr>
          <w:ilvl w:val="0"/>
          <w:numId w:val="12"/>
        </w:numPr>
        <w:spacing w:line="360" w:lineRule="exact"/>
        <w:rPr>
          <w:rFonts w:ascii="新宋体" w:hAnsi="新宋体" w:eastAsia="新宋体"/>
          <w:bCs/>
          <w:color w:val="000000"/>
        </w:rPr>
      </w:pPr>
      <w:r>
        <w:rPr>
          <w:rFonts w:hint="eastAsia" w:ascii="新宋体" w:hAnsi="新宋体" w:eastAsia="新宋体"/>
          <w:bCs/>
          <w:color w:val="000000"/>
        </w:rPr>
        <w:t>报价应包含货物设计、制造、包装、仓储、运输、保险、安装、调试、集成、材料（含辅材）、装饰装修、保修期内备品备件、专用工具、伴随服务发生的所有含税费用，以及支付给员工的工资和国家强制缴纳的各种社会保障资金等一切费用。</w:t>
      </w:r>
    </w:p>
    <w:p>
      <w:pPr>
        <w:numPr>
          <w:ilvl w:val="0"/>
          <w:numId w:val="12"/>
        </w:numPr>
        <w:spacing w:line="360" w:lineRule="exact"/>
        <w:rPr>
          <w:rFonts w:ascii="新宋体" w:hAnsi="新宋体" w:eastAsia="新宋体"/>
          <w:bCs/>
          <w:color w:val="000000"/>
        </w:rPr>
      </w:pPr>
      <w:r>
        <w:rPr>
          <w:rFonts w:hint="eastAsia" w:ascii="新宋体" w:hAnsi="新宋体" w:eastAsia="新宋体"/>
          <w:bCs/>
          <w:color w:val="000000"/>
        </w:rPr>
        <w:t>报价应包含所有硬件设备原厂免费质保、</w:t>
      </w:r>
      <w:r>
        <w:rPr>
          <w:rFonts w:ascii="新宋体" w:hAnsi="新宋体" w:eastAsia="新宋体"/>
          <w:bCs/>
          <w:color w:val="000000"/>
        </w:rPr>
        <w:t>中心及网点设备安装调试</w:t>
      </w:r>
      <w:r>
        <w:rPr>
          <w:rFonts w:hint="eastAsia" w:ascii="新宋体" w:hAnsi="新宋体" w:eastAsia="新宋体"/>
          <w:bCs/>
          <w:color w:val="000000"/>
        </w:rPr>
        <w:t>、增值</w:t>
      </w:r>
      <w:r>
        <w:rPr>
          <w:rFonts w:ascii="新宋体" w:hAnsi="新宋体" w:eastAsia="新宋体"/>
          <w:bCs/>
          <w:color w:val="000000"/>
        </w:rPr>
        <w:t>税金等费用</w:t>
      </w:r>
      <w:r>
        <w:rPr>
          <w:rFonts w:hint="eastAsia" w:ascii="新宋体" w:hAnsi="新宋体" w:eastAsia="新宋体"/>
          <w:bCs/>
          <w:color w:val="000000"/>
        </w:rPr>
        <w:t>。</w:t>
      </w:r>
    </w:p>
    <w:p>
      <w:pPr>
        <w:spacing w:line="360" w:lineRule="auto"/>
        <w:ind w:firstLine="420" w:firstLineChars="200"/>
        <w:rPr>
          <w:rFonts w:ascii="新宋体" w:hAnsi="新宋体" w:eastAsia="新宋体"/>
          <w:bCs/>
          <w:color w:val="000000"/>
        </w:rPr>
      </w:pPr>
    </w:p>
    <w:p>
      <w:pPr>
        <w:spacing w:line="360" w:lineRule="auto"/>
        <w:ind w:firstLine="1200" w:firstLineChars="500"/>
        <w:rPr>
          <w:rFonts w:ascii="新宋体" w:hAnsi="新宋体" w:eastAsia="新宋体"/>
          <w:b/>
          <w:bCs/>
          <w:color w:val="000000"/>
          <w:sz w:val="24"/>
        </w:rPr>
      </w:pPr>
    </w:p>
    <w:p>
      <w:pPr>
        <w:spacing w:line="360" w:lineRule="auto"/>
        <w:ind w:firstLine="1200" w:firstLineChars="500"/>
        <w:rPr>
          <w:rFonts w:ascii="新宋体" w:hAnsi="新宋体" w:eastAsia="新宋体"/>
          <w:b/>
          <w:bCs/>
          <w:color w:val="000000"/>
          <w:sz w:val="24"/>
        </w:rPr>
      </w:pPr>
    </w:p>
    <w:p>
      <w:pPr>
        <w:spacing w:line="360" w:lineRule="auto"/>
        <w:rPr>
          <w:rFonts w:ascii="新宋体" w:hAnsi="新宋体" w:eastAsia="新宋体"/>
          <w:b/>
          <w:bCs/>
          <w:color w:val="000000"/>
          <w:sz w:val="24"/>
        </w:rPr>
      </w:pPr>
    </w:p>
    <w:p>
      <w:pPr>
        <w:spacing w:line="360" w:lineRule="auto"/>
        <w:rPr>
          <w:rFonts w:ascii="新宋体" w:hAnsi="新宋体" w:eastAsia="新宋体"/>
          <w:b/>
          <w:bCs/>
          <w:color w:val="000000"/>
          <w:sz w:val="24"/>
        </w:rPr>
      </w:pPr>
    </w:p>
    <w:p>
      <w:pPr>
        <w:pStyle w:val="24"/>
        <w:rPr>
          <w:rFonts w:ascii="新宋体" w:hAnsi="新宋体" w:eastAsia="新宋体"/>
          <w:color w:val="auto"/>
          <w:szCs w:val="21"/>
        </w:rPr>
      </w:pPr>
      <w:r>
        <w:rPr>
          <w:rFonts w:ascii="新宋体" w:hAnsi="新宋体" w:eastAsia="新宋体"/>
          <w:b w:val="0"/>
          <w:bCs w:val="0"/>
          <w:color w:val="000000"/>
          <w:sz w:val="24"/>
        </w:rPr>
        <w:br w:type="page"/>
      </w:r>
      <w:bookmarkStart w:id="151" w:name="_Toc3215859"/>
      <w:r>
        <w:rPr>
          <w:rFonts w:ascii="新宋体" w:hAnsi="新宋体" w:eastAsia="新宋体"/>
          <w:color w:val="auto"/>
          <w:lang w:val="zh-CN"/>
        </w:rPr>
        <w:t>格式</w:t>
      </w:r>
      <w:r>
        <w:rPr>
          <w:rFonts w:hint="eastAsia" w:ascii="新宋体" w:hAnsi="新宋体" w:eastAsia="新宋体"/>
          <w:color w:val="auto"/>
          <w:lang w:val="zh-CN"/>
        </w:rPr>
        <w:t>4</w:t>
      </w:r>
      <w:r>
        <w:rPr>
          <w:rFonts w:ascii="新宋体" w:hAnsi="新宋体" w:eastAsia="新宋体"/>
          <w:color w:val="auto"/>
          <w:lang w:val="zh-CN"/>
        </w:rPr>
        <w:t>、</w:t>
      </w:r>
      <w:r>
        <w:rPr>
          <w:rFonts w:hint="eastAsia" w:ascii="新宋体" w:hAnsi="新宋体" w:eastAsia="新宋体"/>
          <w:color w:val="auto"/>
          <w:lang w:val="zh-CN"/>
        </w:rPr>
        <w:t>投标报价</w:t>
      </w:r>
      <w:r>
        <w:rPr>
          <w:rFonts w:ascii="新宋体" w:hAnsi="新宋体" w:eastAsia="新宋体"/>
          <w:color w:val="auto"/>
          <w:lang w:val="zh-CN"/>
        </w:rPr>
        <w:t>表</w:t>
      </w:r>
      <w:bookmarkEnd w:id="151"/>
    </w:p>
    <w:p>
      <w:pPr>
        <w:autoSpaceDE w:val="0"/>
        <w:autoSpaceDN w:val="0"/>
        <w:adjustRightInd w:val="0"/>
        <w:rPr>
          <w:rFonts w:ascii="新宋体" w:hAnsi="新宋体" w:eastAsia="新宋体" w:cs="宋体"/>
          <w:color w:val="000000"/>
          <w:szCs w:val="21"/>
          <w:lang w:val="zh-CN"/>
        </w:rPr>
      </w:pPr>
      <w:r>
        <w:rPr>
          <w:rFonts w:hint="eastAsia" w:ascii="新宋体" w:hAnsi="新宋体" w:eastAsia="新宋体" w:cs="宋体"/>
          <w:color w:val="000000"/>
          <w:szCs w:val="21"/>
          <w:lang w:val="zh-CN"/>
        </w:rPr>
        <w:t>招标编号：                                                               单位：元</w:t>
      </w: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rPr>
          <w:rFonts w:ascii="新宋体" w:hAnsi="新宋体" w:eastAsia="新宋体" w:cs="宋体"/>
          <w:color w:val="000000"/>
          <w:szCs w:val="21"/>
          <w:lang w:val="zh-CN"/>
        </w:rPr>
      </w:pPr>
    </w:p>
    <w:p>
      <w:pPr>
        <w:autoSpaceDE w:val="0"/>
        <w:autoSpaceDN w:val="0"/>
        <w:adjustRightInd w:val="0"/>
        <w:spacing w:line="360" w:lineRule="auto"/>
        <w:rPr>
          <w:rFonts w:ascii="新宋体" w:hAnsi="新宋体" w:eastAsia="新宋体" w:cs="宋体"/>
          <w:color w:val="000000"/>
          <w:szCs w:val="21"/>
          <w:lang w:val="zh-CN"/>
        </w:rPr>
      </w:pPr>
    </w:p>
    <w:p>
      <w:pPr>
        <w:autoSpaceDE w:val="0"/>
        <w:autoSpaceDN w:val="0"/>
        <w:adjustRightInd w:val="0"/>
        <w:spacing w:line="360" w:lineRule="auto"/>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r>
        <w:rPr>
          <w:rFonts w:hint="eastAsia" w:ascii="新宋体" w:hAnsi="新宋体" w:eastAsia="新宋体" w:cs="宋体"/>
          <w:color w:val="000000"/>
          <w:szCs w:val="21"/>
          <w:lang w:val="zh-CN"/>
        </w:rPr>
        <w:t>投标人（盖章）：</w:t>
      </w:r>
    </w:p>
    <w:p>
      <w:pPr>
        <w:autoSpaceDE w:val="0"/>
        <w:autoSpaceDN w:val="0"/>
        <w:adjustRightInd w:val="0"/>
        <w:spacing w:line="360" w:lineRule="auto"/>
        <w:ind w:firstLine="420" w:firstLineChars="200"/>
        <w:rPr>
          <w:rFonts w:ascii="新宋体" w:hAnsi="新宋体" w:eastAsia="新宋体" w:cs="宋体"/>
          <w:color w:val="000000"/>
          <w:szCs w:val="21"/>
          <w:lang w:val="zh-CN"/>
        </w:rPr>
      </w:pPr>
      <w:r>
        <w:rPr>
          <w:rFonts w:hint="eastAsia" w:ascii="新宋体" w:hAnsi="新宋体" w:eastAsia="新宋体" w:cs="宋体"/>
          <w:color w:val="000000"/>
          <w:szCs w:val="21"/>
          <w:lang w:val="zh-CN"/>
        </w:rPr>
        <w:t>法定代表人或授权委托人（签字或盖章）:</w:t>
      </w:r>
    </w:p>
    <w:p>
      <w:pPr>
        <w:autoSpaceDE w:val="0"/>
        <w:autoSpaceDN w:val="0"/>
        <w:adjustRightInd w:val="0"/>
        <w:spacing w:line="360" w:lineRule="auto"/>
        <w:ind w:firstLine="420" w:firstLineChars="200"/>
        <w:rPr>
          <w:rFonts w:ascii="新宋体" w:hAnsi="新宋体" w:eastAsia="新宋体" w:cs="宋体"/>
          <w:color w:val="000000"/>
          <w:szCs w:val="21"/>
          <w:lang w:val="zh-CN"/>
        </w:rPr>
      </w:pPr>
      <w:r>
        <w:rPr>
          <w:rFonts w:hint="eastAsia" w:ascii="新宋体" w:hAnsi="新宋体" w:eastAsia="新宋体" w:cs="宋体"/>
          <w:color w:val="000000"/>
          <w:szCs w:val="21"/>
          <w:lang w:val="zh-CN"/>
        </w:rPr>
        <w:t xml:space="preserve">日期： </w:t>
      </w:r>
      <w:r>
        <w:rPr>
          <w:rFonts w:ascii="新宋体" w:hAnsi="新宋体" w:eastAsia="新宋体" w:cs="宋体"/>
          <w:color w:val="000000"/>
          <w:szCs w:val="21"/>
          <w:lang w:val="zh-CN"/>
        </w:rPr>
        <w:t>2019</w:t>
      </w:r>
      <w:r>
        <w:rPr>
          <w:rFonts w:hint="eastAsia" w:ascii="新宋体" w:hAnsi="新宋体" w:eastAsia="新宋体" w:cs="宋体"/>
          <w:color w:val="000000"/>
          <w:szCs w:val="21"/>
          <w:lang w:val="zh-CN"/>
        </w:rPr>
        <w:t xml:space="preserve">年 </w:t>
      </w:r>
      <w:r>
        <w:rPr>
          <w:rFonts w:hint="eastAsia" w:ascii="新宋体" w:hAnsi="新宋体" w:eastAsia="新宋体" w:cs="宋体"/>
          <w:color w:val="000000"/>
          <w:szCs w:val="21"/>
        </w:rPr>
        <w:t>4</w:t>
      </w:r>
      <w:r>
        <w:rPr>
          <w:rFonts w:hint="eastAsia" w:ascii="新宋体" w:hAnsi="新宋体" w:eastAsia="新宋体" w:cs="宋体"/>
          <w:color w:val="000000"/>
          <w:szCs w:val="21"/>
          <w:lang w:val="zh-CN"/>
        </w:rPr>
        <w:t xml:space="preserve">  月 </w:t>
      </w:r>
      <w:r>
        <w:rPr>
          <w:rFonts w:ascii="新宋体" w:hAnsi="新宋体" w:eastAsia="新宋体" w:cs="宋体"/>
          <w:color w:val="000000"/>
          <w:szCs w:val="21"/>
          <w:lang w:val="zh-CN"/>
        </w:rPr>
        <w:t xml:space="preserve">  </w:t>
      </w:r>
      <w:r>
        <w:rPr>
          <w:rFonts w:hint="eastAsia" w:ascii="新宋体" w:hAnsi="新宋体" w:eastAsia="新宋体" w:cs="宋体"/>
          <w:color w:val="000000"/>
          <w:szCs w:val="21"/>
          <w:lang w:val="zh-CN"/>
        </w:rPr>
        <w:t xml:space="preserve"> 日</w:t>
      </w: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spacing w:line="360" w:lineRule="auto"/>
        <w:ind w:firstLine="420" w:firstLineChars="200"/>
        <w:rPr>
          <w:rFonts w:ascii="新宋体" w:hAnsi="新宋体" w:eastAsia="新宋体" w:cs="宋体"/>
          <w:color w:val="000000"/>
          <w:szCs w:val="21"/>
          <w:lang w:val="zh-CN"/>
        </w:rPr>
      </w:pPr>
    </w:p>
    <w:p>
      <w:pPr>
        <w:autoSpaceDE w:val="0"/>
        <w:autoSpaceDN w:val="0"/>
        <w:adjustRightInd w:val="0"/>
        <w:rPr>
          <w:rFonts w:ascii="新宋体" w:hAnsi="新宋体" w:eastAsia="新宋体"/>
          <w:b/>
          <w:bCs/>
          <w:color w:val="000000"/>
          <w:szCs w:val="21"/>
        </w:rPr>
      </w:pPr>
    </w:p>
    <w:p>
      <w:pPr>
        <w:autoSpaceDE w:val="0"/>
        <w:autoSpaceDN w:val="0"/>
        <w:adjustRightInd w:val="0"/>
        <w:rPr>
          <w:rFonts w:ascii="新宋体" w:hAnsi="新宋体" w:eastAsia="新宋体"/>
          <w:b/>
          <w:bCs/>
          <w:color w:val="000000"/>
          <w:szCs w:val="21"/>
        </w:rPr>
      </w:pPr>
    </w:p>
    <w:p>
      <w:pPr>
        <w:spacing w:line="400" w:lineRule="exact"/>
        <w:rPr>
          <w:rFonts w:ascii="宋体" w:hAnsi="宋体"/>
          <w:b/>
          <w:szCs w:val="21"/>
        </w:rPr>
      </w:pPr>
      <w:r>
        <w:rPr>
          <w:rFonts w:hint="eastAsia" w:ascii="宋体" w:hAnsi="宋体"/>
          <w:b/>
          <w:szCs w:val="21"/>
        </w:rPr>
        <w:t>评分标准：</w:t>
      </w:r>
    </w:p>
    <w:tbl>
      <w:tblPr>
        <w:tblStyle w:val="34"/>
        <w:tblW w:w="9248"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8"/>
        <w:gridCol w:w="1276"/>
        <w:gridCol w:w="850"/>
        <w:gridCol w:w="59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jc w:val="center"/>
        </w:trPr>
        <w:tc>
          <w:tcPr>
            <w:tcW w:w="1168" w:type="dxa"/>
            <w:tcBorders>
              <w:top w:val="single" w:color="auto" w:sz="12" w:space="0"/>
            </w:tcBorders>
            <w:vAlign w:val="bottom"/>
          </w:tcPr>
          <w:p>
            <w:pPr>
              <w:spacing w:line="400" w:lineRule="exact"/>
              <w:jc w:val="center"/>
              <w:rPr>
                <w:rFonts w:ascii="宋体" w:hAnsi="宋体"/>
              </w:rPr>
            </w:pPr>
            <w:r>
              <w:rPr>
                <w:rFonts w:hint="eastAsia" w:ascii="宋体" w:hAnsi="宋体"/>
              </w:rPr>
              <w:t>类别</w:t>
            </w:r>
          </w:p>
        </w:tc>
        <w:tc>
          <w:tcPr>
            <w:tcW w:w="1276" w:type="dxa"/>
            <w:tcBorders>
              <w:top w:val="single" w:color="auto" w:sz="12" w:space="0"/>
            </w:tcBorders>
            <w:vAlign w:val="bottom"/>
          </w:tcPr>
          <w:p>
            <w:pPr>
              <w:spacing w:line="400" w:lineRule="exact"/>
              <w:jc w:val="center"/>
              <w:rPr>
                <w:rFonts w:ascii="宋体" w:hAnsi="宋体"/>
              </w:rPr>
            </w:pPr>
            <w:r>
              <w:rPr>
                <w:rFonts w:hint="eastAsia" w:ascii="宋体" w:hAnsi="宋体"/>
              </w:rPr>
              <w:t>评分项</w:t>
            </w:r>
          </w:p>
        </w:tc>
        <w:tc>
          <w:tcPr>
            <w:tcW w:w="850" w:type="dxa"/>
            <w:tcBorders>
              <w:top w:val="single" w:color="auto" w:sz="12" w:space="0"/>
            </w:tcBorders>
            <w:vAlign w:val="bottom"/>
          </w:tcPr>
          <w:p>
            <w:pPr>
              <w:spacing w:line="400" w:lineRule="exact"/>
              <w:jc w:val="center"/>
              <w:rPr>
                <w:rFonts w:ascii="宋体" w:hAnsi="宋体"/>
              </w:rPr>
            </w:pPr>
            <w:r>
              <w:rPr>
                <w:rFonts w:hint="eastAsia" w:ascii="宋体" w:hAnsi="宋体"/>
              </w:rPr>
              <w:t>分值</w:t>
            </w:r>
          </w:p>
        </w:tc>
        <w:tc>
          <w:tcPr>
            <w:tcW w:w="5954" w:type="dxa"/>
            <w:tcBorders>
              <w:top w:val="single" w:color="auto" w:sz="12" w:space="0"/>
            </w:tcBorders>
            <w:vAlign w:val="bottom"/>
          </w:tcPr>
          <w:p>
            <w:pPr>
              <w:spacing w:line="400" w:lineRule="exact"/>
              <w:jc w:val="center"/>
              <w:rPr>
                <w:rFonts w:ascii="宋体" w:hAnsi="宋体"/>
              </w:rPr>
            </w:pPr>
            <w:r>
              <w:rPr>
                <w:rFonts w:hint="eastAsia" w:ascii="宋体" w:hAnsi="宋体"/>
              </w:rPr>
              <w:t>评分细则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jc w:val="center"/>
        </w:trPr>
        <w:tc>
          <w:tcPr>
            <w:tcW w:w="1168" w:type="dxa"/>
            <w:vAlign w:val="center"/>
          </w:tcPr>
          <w:p>
            <w:pPr>
              <w:spacing w:line="400" w:lineRule="exact"/>
              <w:jc w:val="center"/>
              <w:rPr>
                <w:rFonts w:ascii="宋体" w:hAnsi="宋体"/>
              </w:rPr>
            </w:pPr>
            <w:r>
              <w:rPr>
                <w:rFonts w:hint="eastAsia" w:ascii="宋体" w:hAnsi="宋体"/>
              </w:rPr>
              <w:t>价格分</w:t>
            </w:r>
            <w:r>
              <w:rPr>
                <w:rFonts w:hint="eastAsia" w:ascii="宋体" w:hAnsi="宋体"/>
              </w:rPr>
              <w:br w:type="textWrapping"/>
            </w:r>
            <w:r>
              <w:rPr>
                <w:rFonts w:hint="eastAsia" w:ascii="宋体" w:hAnsi="宋体"/>
              </w:rPr>
              <w:t>（</w:t>
            </w:r>
            <w:r>
              <w:rPr>
                <w:rFonts w:hint="eastAsia" w:ascii="宋体" w:hAnsi="宋体"/>
                <w:lang w:val="en-US" w:eastAsia="zh-CN"/>
              </w:rPr>
              <w:t>5</w:t>
            </w:r>
            <w:r>
              <w:rPr>
                <w:rFonts w:hint="eastAsia" w:ascii="宋体" w:hAnsi="宋体"/>
              </w:rPr>
              <w:t>0分）</w:t>
            </w:r>
          </w:p>
        </w:tc>
        <w:tc>
          <w:tcPr>
            <w:tcW w:w="1276" w:type="dxa"/>
            <w:vAlign w:val="center"/>
          </w:tcPr>
          <w:p>
            <w:pPr>
              <w:spacing w:line="400" w:lineRule="exact"/>
              <w:jc w:val="center"/>
              <w:rPr>
                <w:rFonts w:ascii="宋体" w:hAnsi="宋体"/>
              </w:rPr>
            </w:pPr>
            <w:r>
              <w:rPr>
                <w:rFonts w:hint="eastAsia" w:ascii="宋体" w:hAnsi="宋体"/>
              </w:rPr>
              <w:t>投标</w:t>
            </w:r>
          </w:p>
          <w:p>
            <w:pPr>
              <w:spacing w:line="400" w:lineRule="exact"/>
              <w:jc w:val="center"/>
              <w:rPr>
                <w:rFonts w:ascii="宋体" w:hAnsi="宋体"/>
              </w:rPr>
            </w:pPr>
            <w:r>
              <w:rPr>
                <w:rFonts w:hint="eastAsia" w:ascii="宋体" w:hAnsi="宋体"/>
              </w:rPr>
              <w:t>报价</w:t>
            </w:r>
          </w:p>
        </w:tc>
        <w:tc>
          <w:tcPr>
            <w:tcW w:w="850" w:type="dxa"/>
            <w:vAlign w:val="center"/>
          </w:tcPr>
          <w:p>
            <w:pPr>
              <w:spacing w:line="400" w:lineRule="exact"/>
              <w:jc w:val="center"/>
              <w:rPr>
                <w:rFonts w:ascii="宋体" w:hAnsi="宋体"/>
              </w:rPr>
            </w:pPr>
            <w:r>
              <w:rPr>
                <w:rFonts w:hint="eastAsia" w:ascii="宋体" w:hAnsi="宋体"/>
                <w:lang w:val="en-US" w:eastAsia="zh-CN"/>
              </w:rPr>
              <w:t>5</w:t>
            </w:r>
            <w:r>
              <w:rPr>
                <w:rFonts w:hint="eastAsia" w:ascii="宋体" w:hAnsi="宋体"/>
              </w:rPr>
              <w:t>0</w:t>
            </w:r>
          </w:p>
        </w:tc>
        <w:tc>
          <w:tcPr>
            <w:tcW w:w="5954" w:type="dxa"/>
            <w:vAlign w:val="center"/>
          </w:tcPr>
          <w:p>
            <w:pPr>
              <w:spacing w:line="400" w:lineRule="exact"/>
              <w:rPr>
                <w:rFonts w:ascii="宋体" w:hAnsi="宋体"/>
                <w:color w:val="auto"/>
              </w:rPr>
            </w:pPr>
            <w:r>
              <w:rPr>
                <w:rFonts w:hint="eastAsia" w:ascii="宋体" w:hAnsi="宋体"/>
                <w:color w:val="auto"/>
                <w:lang w:eastAsia="zh-CN"/>
              </w:rPr>
              <w:t>本次招标设有限价，</w:t>
            </w:r>
            <w:r>
              <w:rPr>
                <w:rFonts w:hint="eastAsia" w:ascii="宋体" w:hAnsi="宋体"/>
                <w:color w:val="auto"/>
              </w:rPr>
              <w:t>采用</w:t>
            </w:r>
            <w:r>
              <w:rPr>
                <w:rFonts w:hint="eastAsia" w:ascii="宋体" w:hAnsi="宋体"/>
                <w:color w:val="auto"/>
                <w:lang w:eastAsia="zh-CN"/>
              </w:rPr>
              <w:t>平均价</w:t>
            </w:r>
            <w:r>
              <w:rPr>
                <w:rFonts w:hint="eastAsia" w:ascii="宋体" w:hAnsi="宋体"/>
                <w:color w:val="auto"/>
              </w:rPr>
              <w:t>法计算，即满足招标文件要求且</w:t>
            </w:r>
            <w:r>
              <w:rPr>
                <w:rFonts w:hint="eastAsia" w:ascii="宋体" w:hAnsi="宋体"/>
                <w:color w:val="auto"/>
                <w:lang w:eastAsia="zh-CN"/>
              </w:rPr>
              <w:t>投标单位的平均价</w:t>
            </w:r>
            <w:r>
              <w:rPr>
                <w:rFonts w:hint="eastAsia" w:ascii="宋体" w:hAnsi="宋体"/>
                <w:color w:val="auto"/>
              </w:rPr>
              <w:t>为评标基准价，其价格分为满分。其他投标单位的投标价格分统一按照下列公式计算：</w:t>
            </w:r>
          </w:p>
          <w:p>
            <w:pPr>
              <w:spacing w:line="400" w:lineRule="exact"/>
              <w:rPr>
                <w:rFonts w:ascii="宋体" w:hAnsi="宋体"/>
              </w:rPr>
            </w:pPr>
            <w:r>
              <w:rPr>
                <w:rFonts w:hint="eastAsia" w:ascii="宋体" w:hAnsi="宋体"/>
                <w:color w:val="auto"/>
              </w:rPr>
              <w:t>报价得分=（评标基准价/各投标报价）×</w:t>
            </w:r>
            <w:r>
              <w:rPr>
                <w:rFonts w:hint="eastAsia" w:ascii="宋体" w:hAnsi="宋体"/>
                <w:color w:val="auto"/>
                <w:lang w:val="en-US" w:eastAsia="zh-CN"/>
              </w:rPr>
              <w:t>50</w:t>
            </w:r>
            <w:r>
              <w:rPr>
                <w:rFonts w:hint="default" w:ascii="宋体" w:hAnsi="宋体"/>
                <w:color w:val="auto"/>
                <w:lang w:val="en-US"/>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18" w:hRule="atLeast"/>
          <w:jc w:val="center"/>
        </w:trPr>
        <w:tc>
          <w:tcPr>
            <w:tcW w:w="1168" w:type="dxa"/>
            <w:vMerge w:val="restart"/>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技术分</w:t>
            </w:r>
          </w:p>
          <w:p>
            <w:pPr>
              <w:spacing w:line="400" w:lineRule="exact"/>
              <w:jc w:val="center"/>
              <w:rPr>
                <w:rFonts w:asciiTheme="minorEastAsia" w:hAnsiTheme="minorEastAsia" w:eastAsiaTheme="minorEastAsia"/>
              </w:rPr>
            </w:pPr>
            <w:r>
              <w:rPr>
                <w:rFonts w:hint="eastAsia" w:asciiTheme="minorEastAsia" w:hAnsiTheme="minorEastAsia" w:eastAsiaTheme="minorEastAsia"/>
              </w:rPr>
              <w:t>(</w:t>
            </w:r>
            <w:r>
              <w:rPr>
                <w:rFonts w:hint="eastAsia" w:asciiTheme="minorEastAsia" w:hAnsiTheme="minorEastAsia" w:eastAsiaTheme="minorEastAsia"/>
                <w:lang w:val="en-US" w:eastAsia="zh-CN"/>
              </w:rPr>
              <w:t>30</w:t>
            </w:r>
            <w:r>
              <w:rPr>
                <w:rFonts w:hint="eastAsia" w:asciiTheme="minorEastAsia" w:hAnsiTheme="minorEastAsia" w:eastAsiaTheme="minorEastAsia"/>
              </w:rPr>
              <w:t>分)</w:t>
            </w:r>
          </w:p>
        </w:tc>
        <w:tc>
          <w:tcPr>
            <w:tcW w:w="1276"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产品功能评价</w:t>
            </w:r>
          </w:p>
        </w:tc>
        <w:tc>
          <w:tcPr>
            <w:tcW w:w="850"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15</w:t>
            </w:r>
          </w:p>
        </w:tc>
        <w:tc>
          <w:tcPr>
            <w:tcW w:w="5954" w:type="dxa"/>
            <w:vAlign w:val="center"/>
          </w:tcPr>
          <w:p>
            <w:pPr>
              <w:pStyle w:val="71"/>
              <w:rPr>
                <w:rFonts w:ascii="Times" w:hAnsi="Times" w:cs="Times" w:eastAsiaTheme="minorEastAsia"/>
              </w:rPr>
            </w:pPr>
            <w:r>
              <w:rPr>
                <w:rFonts w:hint="eastAsia"/>
              </w:rPr>
              <w:t>请提供以下功能截图证明材料</w:t>
            </w:r>
          </w:p>
          <w:p>
            <w:pPr>
              <w:pStyle w:val="61"/>
              <w:numPr>
                <w:ilvl w:val="0"/>
                <w:numId w:val="13"/>
              </w:numPr>
              <w:ind w:firstLineChars="0"/>
              <w:rPr>
                <w:rFonts w:ascii="Times" w:hAnsi="Times" w:cs="Times" w:eastAsiaTheme="minorEastAsia"/>
                <w:szCs w:val="21"/>
              </w:rPr>
            </w:pPr>
            <w:r>
              <w:rPr>
                <w:rFonts w:hint="eastAsia" w:ascii="宋体" w:hAnsi="宋体"/>
              </w:rPr>
              <w:t>★</w:t>
            </w:r>
            <w:r>
              <w:rPr>
                <w:rFonts w:hint="eastAsia" w:ascii="宋体" w:hAnsi="宋体" w:cs="Songti SC Black" w:eastAsiaTheme="minorEastAsia"/>
                <w:color w:val="000000"/>
                <w:kern w:val="0"/>
                <w:sz w:val="20"/>
                <w:szCs w:val="20"/>
              </w:rPr>
              <w:t>提供服务器、网络、虚拟化、存储等设备的健康状态视图</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能够分析列出问题最多的设备状态指标以及设备使用趋势</w:t>
            </w:r>
            <w:r>
              <w:rPr>
                <w:rFonts w:hint="eastAsia" w:ascii="宋体" w:hAnsi="宋体" w:cs="Microsoft Tai Le" w:eastAsiaTheme="minorEastAsia"/>
                <w:color w:val="000000"/>
                <w:kern w:val="0"/>
                <w:sz w:val="20"/>
                <w:szCs w:val="20"/>
              </w:rPr>
              <w:t>。（截图证明）</w:t>
            </w:r>
            <w:r>
              <w:rPr>
                <w:rFonts w:hint="eastAsia" w:ascii="宋体" w:hAnsi="宋体" w:cs="Microsoft Tai Le" w:eastAsiaTheme="minorEastAsia"/>
                <w:color w:val="000000"/>
                <w:kern w:val="0"/>
                <w:sz w:val="20"/>
                <w:szCs w:val="20"/>
                <w:lang w:eastAsia="zh-CN"/>
              </w:rPr>
              <w:t>此项得</w:t>
            </w:r>
            <w:r>
              <w:rPr>
                <w:rFonts w:hint="eastAsia" w:ascii="宋体" w:hAnsi="宋体" w:cs="Microsoft Tai Le" w:eastAsiaTheme="minorEastAsia"/>
                <w:color w:val="000000"/>
                <w:kern w:val="0"/>
                <w:sz w:val="20"/>
                <w:szCs w:val="20"/>
                <w:lang w:val="en-US" w:eastAsia="zh-CN"/>
              </w:rPr>
              <w:t>5分。</w:t>
            </w:r>
          </w:p>
          <w:p>
            <w:pPr>
              <w:pStyle w:val="61"/>
              <w:numPr>
                <w:ilvl w:val="0"/>
                <w:numId w:val="13"/>
              </w:numPr>
              <w:ind w:firstLineChars="0"/>
              <w:rPr>
                <w:rFonts w:ascii="Times" w:hAnsi="Times" w:cs="Times"/>
              </w:rPr>
            </w:pPr>
            <w:r>
              <w:rPr>
                <w:rFonts w:hint="eastAsia" w:ascii="宋体" w:hAnsi="宋体"/>
              </w:rPr>
              <w:t>★</w:t>
            </w:r>
            <w:r>
              <w:rPr>
                <w:rFonts w:hint="eastAsia" w:ascii="宋体" w:hAnsi="宋体" w:cs="Songti SC Black" w:eastAsiaTheme="minorEastAsia"/>
                <w:color w:val="000000"/>
                <w:kern w:val="0"/>
                <w:sz w:val="20"/>
                <w:szCs w:val="20"/>
              </w:rPr>
              <w:t>提供系统中存在的重要告警事件</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以及指标异常监测、提供相应的报表分析功能</w:t>
            </w:r>
            <w:r>
              <w:rPr>
                <w:rFonts w:hint="eastAsia" w:ascii="宋体" w:hAnsi="宋体" w:cs="Microsoft Tai Le" w:eastAsiaTheme="minorEastAsia"/>
                <w:color w:val="000000"/>
                <w:kern w:val="0"/>
                <w:sz w:val="20"/>
                <w:szCs w:val="20"/>
              </w:rPr>
              <w:t>；（截图证明）</w:t>
            </w:r>
            <w:r>
              <w:rPr>
                <w:rFonts w:hint="eastAsia" w:ascii="宋体" w:hAnsi="宋体" w:cs="Microsoft Tai Le" w:eastAsiaTheme="minorEastAsia"/>
                <w:color w:val="000000"/>
                <w:kern w:val="0"/>
                <w:sz w:val="20"/>
                <w:szCs w:val="20"/>
                <w:lang w:eastAsia="zh-CN"/>
              </w:rPr>
              <w:t>此项得</w:t>
            </w:r>
            <w:r>
              <w:rPr>
                <w:rFonts w:hint="eastAsia" w:ascii="宋体" w:hAnsi="宋体" w:cs="Microsoft Tai Le" w:eastAsiaTheme="minorEastAsia"/>
                <w:color w:val="000000"/>
                <w:kern w:val="0"/>
                <w:sz w:val="20"/>
                <w:szCs w:val="20"/>
                <w:lang w:val="en-US" w:eastAsia="zh-CN"/>
              </w:rPr>
              <w:t>5分。</w:t>
            </w:r>
          </w:p>
          <w:p>
            <w:pPr>
              <w:pStyle w:val="61"/>
              <w:numPr>
                <w:ilvl w:val="0"/>
                <w:numId w:val="13"/>
              </w:numPr>
              <w:ind w:firstLineChars="0"/>
              <w:rPr>
                <w:rFonts w:ascii="Times" w:hAnsi="Times" w:cs="Times"/>
              </w:rPr>
            </w:pPr>
            <w:r>
              <w:rPr>
                <w:rFonts w:hint="eastAsia" w:ascii="宋体" w:hAnsi="宋体"/>
              </w:rPr>
              <w:t>★</w:t>
            </w:r>
            <w:r>
              <w:rPr>
                <w:rFonts w:hint="eastAsia" w:ascii="宋体" w:hAnsi="宋体" w:cs="Songti SC Black" w:eastAsiaTheme="minorEastAsia"/>
                <w:color w:val="000000"/>
                <w:kern w:val="0"/>
                <w:sz w:val="20"/>
                <w:szCs w:val="20"/>
              </w:rPr>
              <w:t>系统能够提供设备告警处置办法</w:t>
            </w:r>
            <w:r>
              <w:rPr>
                <w:rFonts w:hint="eastAsia" w:ascii="宋体" w:hAnsi="宋体" w:cs="Microsoft Tai Le" w:eastAsiaTheme="minorEastAsia"/>
                <w:color w:val="000000"/>
                <w:kern w:val="0"/>
                <w:sz w:val="20"/>
                <w:szCs w:val="20"/>
              </w:rPr>
              <w:t>，</w:t>
            </w:r>
            <w:r>
              <w:rPr>
                <w:rFonts w:hint="eastAsia" w:ascii="宋体" w:hAnsi="宋体" w:cs="Songti SC Black" w:eastAsiaTheme="minorEastAsia"/>
                <w:color w:val="000000"/>
                <w:kern w:val="0"/>
                <w:sz w:val="20"/>
                <w:szCs w:val="20"/>
              </w:rPr>
              <w:t>自动实现告警和处置知识快速关联</w:t>
            </w:r>
            <w:r>
              <w:rPr>
                <w:rFonts w:hint="eastAsia" w:ascii="宋体" w:hAnsi="宋体" w:cs="Microsoft Tai Le" w:eastAsiaTheme="minorEastAsia"/>
                <w:color w:val="000000"/>
                <w:kern w:val="0"/>
                <w:sz w:val="20"/>
                <w:szCs w:val="20"/>
              </w:rPr>
              <w:t>，可以通过短信、电话、邮件等方式通知运维人员，</w:t>
            </w:r>
            <w:r>
              <w:rPr>
                <w:rFonts w:hint="eastAsia" w:ascii="宋体" w:hAnsi="宋体" w:cs="Songti SC Black" w:eastAsiaTheme="minorEastAsia"/>
                <w:color w:val="000000"/>
                <w:kern w:val="0"/>
                <w:sz w:val="20"/>
                <w:szCs w:val="20"/>
              </w:rPr>
              <w:t>方便告警的快速处理。（截图证明）</w:t>
            </w:r>
            <w:r>
              <w:rPr>
                <w:rFonts w:hint="eastAsia" w:ascii="宋体" w:hAnsi="宋体" w:cs="Songti SC Black" w:eastAsiaTheme="minorEastAsia"/>
                <w:color w:val="000000"/>
                <w:kern w:val="0"/>
                <w:sz w:val="20"/>
                <w:szCs w:val="20"/>
                <w:lang w:eastAsia="zh-CN"/>
              </w:rPr>
              <w:t>此项得</w:t>
            </w:r>
            <w:r>
              <w:rPr>
                <w:rFonts w:hint="eastAsia" w:ascii="宋体" w:hAnsi="宋体" w:cs="Songti SC Black" w:eastAsiaTheme="minorEastAsia"/>
                <w:color w:val="000000"/>
                <w:kern w:val="0"/>
                <w:sz w:val="20"/>
                <w:szCs w:val="20"/>
                <w:lang w:val="en-US" w:eastAsia="zh-CN"/>
              </w:rPr>
              <w:t>5分。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jc w:val="center"/>
        </w:trPr>
        <w:tc>
          <w:tcPr>
            <w:tcW w:w="1168" w:type="dxa"/>
            <w:vMerge w:val="continue"/>
            <w:vAlign w:val="center"/>
          </w:tcPr>
          <w:p>
            <w:pPr>
              <w:spacing w:line="400" w:lineRule="exact"/>
              <w:jc w:val="center"/>
              <w:rPr>
                <w:rFonts w:asciiTheme="minorEastAsia" w:hAnsiTheme="minorEastAsia" w:eastAsiaTheme="minorEastAsia"/>
              </w:rPr>
            </w:pPr>
          </w:p>
        </w:tc>
        <w:tc>
          <w:tcPr>
            <w:tcW w:w="1276"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实施及培训方案</w:t>
            </w:r>
          </w:p>
        </w:tc>
        <w:tc>
          <w:tcPr>
            <w:tcW w:w="850" w:type="dxa"/>
            <w:vAlign w:val="center"/>
          </w:tcPr>
          <w:p>
            <w:pPr>
              <w:spacing w:line="400" w:lineRule="exact"/>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15</w:t>
            </w:r>
          </w:p>
        </w:tc>
        <w:tc>
          <w:tcPr>
            <w:tcW w:w="5954" w:type="dxa"/>
            <w:vAlign w:val="center"/>
          </w:tcPr>
          <w:p>
            <w:pPr>
              <w:spacing w:line="400" w:lineRule="exact"/>
              <w:rPr>
                <w:rFonts w:asciiTheme="minorEastAsia" w:hAnsiTheme="minorEastAsia" w:eastAsiaTheme="minorEastAsia"/>
              </w:rPr>
            </w:pPr>
            <w:r>
              <w:rPr>
                <w:rFonts w:hint="eastAsia" w:asciiTheme="minorEastAsia" w:hAnsiTheme="minorEastAsia" w:eastAsiaTheme="minorEastAsia"/>
              </w:rPr>
              <w:t>根据</w:t>
            </w:r>
            <w:r>
              <w:rPr>
                <w:rFonts w:hint="eastAsia" w:ascii="宋体" w:hAnsi="宋体"/>
              </w:rPr>
              <w:t>投标人</w:t>
            </w:r>
            <w:r>
              <w:rPr>
                <w:rFonts w:hint="eastAsia" w:asciiTheme="minorEastAsia" w:hAnsiTheme="minorEastAsia" w:eastAsiaTheme="minorEastAsia"/>
              </w:rPr>
              <w:t>所提供</w:t>
            </w:r>
            <w:r>
              <w:rPr>
                <w:rFonts w:hint="eastAsia" w:ascii="宋体" w:hAnsi="宋体"/>
              </w:rPr>
              <w:t>的项目实施方案等方面</w:t>
            </w:r>
            <w:r>
              <w:rPr>
                <w:rFonts w:hint="eastAsia" w:asciiTheme="minorEastAsia" w:hAnsiTheme="minorEastAsia" w:eastAsiaTheme="minorEastAsia"/>
              </w:rPr>
              <w:t>综合评审</w:t>
            </w:r>
            <w:r>
              <w:rPr>
                <w:rFonts w:hint="eastAsia" w:ascii="宋体" w:hAnsi="宋体"/>
              </w:rPr>
              <w:t>。优秀得</w:t>
            </w:r>
            <w:r>
              <w:rPr>
                <w:rFonts w:hint="eastAsia" w:ascii="宋体" w:hAnsi="宋体"/>
                <w:lang w:val="en-US" w:eastAsia="zh-CN"/>
              </w:rPr>
              <w:t>15</w:t>
            </w:r>
            <w:r>
              <w:rPr>
                <w:rFonts w:hint="eastAsia" w:ascii="宋体" w:hAnsi="宋体"/>
              </w:rPr>
              <w:t>分，良好得</w:t>
            </w:r>
            <w:r>
              <w:rPr>
                <w:rFonts w:hint="eastAsia" w:ascii="宋体" w:hAnsi="宋体"/>
                <w:lang w:val="en-US" w:eastAsia="zh-CN"/>
              </w:rPr>
              <w:t>10</w:t>
            </w:r>
            <w:r>
              <w:rPr>
                <w:rFonts w:hint="eastAsia" w:ascii="宋体" w:hAnsi="宋体"/>
              </w:rPr>
              <w:t>分，一般得</w:t>
            </w:r>
            <w:r>
              <w:rPr>
                <w:rFonts w:hint="eastAsia" w:ascii="宋体" w:hAnsi="宋体"/>
                <w:lang w:val="en-US" w:eastAsia="zh-CN"/>
              </w:rPr>
              <w:t>5</w:t>
            </w:r>
            <w:r>
              <w:rPr>
                <w:rFonts w:hint="eastAsia" w:ascii="宋体" w:hAnsi="宋体"/>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jc w:val="center"/>
        </w:trPr>
        <w:tc>
          <w:tcPr>
            <w:tcW w:w="1168" w:type="dxa"/>
            <w:vMerge w:val="restart"/>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商务分</w:t>
            </w:r>
          </w:p>
          <w:p>
            <w:pPr>
              <w:spacing w:line="400" w:lineRule="exact"/>
              <w:jc w:val="center"/>
              <w:rPr>
                <w:rFonts w:asciiTheme="minorEastAsia" w:hAnsiTheme="minorEastAsia" w:eastAsiaTheme="minorEastAsia"/>
              </w:rPr>
            </w:pPr>
            <w:r>
              <w:rPr>
                <w:rFonts w:hint="eastAsia" w:asciiTheme="minorEastAsia" w:hAnsiTheme="minorEastAsia" w:eastAsiaTheme="minorEastAsia"/>
              </w:rPr>
              <w:t>(20分)</w:t>
            </w:r>
          </w:p>
        </w:tc>
        <w:tc>
          <w:tcPr>
            <w:tcW w:w="1276"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售后服务</w:t>
            </w:r>
          </w:p>
        </w:tc>
        <w:tc>
          <w:tcPr>
            <w:tcW w:w="850"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6</w:t>
            </w:r>
          </w:p>
        </w:tc>
        <w:tc>
          <w:tcPr>
            <w:tcW w:w="5954" w:type="dxa"/>
            <w:vAlign w:val="center"/>
          </w:tcPr>
          <w:p>
            <w:pPr>
              <w:spacing w:line="400" w:lineRule="exact"/>
              <w:rPr>
                <w:rFonts w:ascii="宋体" w:hAnsi="宋体"/>
              </w:rPr>
            </w:pPr>
            <w:r>
              <w:rPr>
                <w:rFonts w:hint="eastAsia" w:ascii="宋体" w:hAnsi="宋体"/>
              </w:rPr>
              <w:t>对于服务响应承诺的评判标准</w:t>
            </w:r>
          </w:p>
          <w:p>
            <w:pPr>
              <w:numPr>
                <w:ilvl w:val="0"/>
                <w:numId w:val="14"/>
              </w:numPr>
              <w:spacing w:line="400" w:lineRule="exact"/>
              <w:rPr>
                <w:rFonts w:ascii="宋体" w:hAnsi="宋体"/>
              </w:rPr>
            </w:pPr>
            <w:r>
              <w:rPr>
                <w:rFonts w:hint="eastAsia" w:ascii="宋体" w:hAnsi="宋体"/>
              </w:rPr>
              <w:t>投标单位提供月度原厂工程师主动上门巡检服务的得6分。</w:t>
            </w:r>
          </w:p>
          <w:p>
            <w:pPr>
              <w:numPr>
                <w:ilvl w:val="0"/>
                <w:numId w:val="14"/>
              </w:numPr>
              <w:spacing w:line="400" w:lineRule="exact"/>
              <w:rPr>
                <w:rFonts w:ascii="宋体" w:hAnsi="宋体"/>
              </w:rPr>
            </w:pPr>
            <w:r>
              <w:rPr>
                <w:rFonts w:hint="eastAsia" w:ascii="宋体" w:hAnsi="宋体"/>
              </w:rPr>
              <w:t>投标单位提供季度原厂工程师主动上门巡检服务的得4分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jc w:val="center"/>
        </w:trPr>
        <w:tc>
          <w:tcPr>
            <w:tcW w:w="1168" w:type="dxa"/>
            <w:vMerge w:val="continue"/>
            <w:vAlign w:val="center"/>
          </w:tcPr>
          <w:p>
            <w:pPr>
              <w:spacing w:line="400" w:lineRule="exact"/>
              <w:jc w:val="center"/>
              <w:rPr>
                <w:rFonts w:asciiTheme="minorEastAsia" w:hAnsiTheme="minorEastAsia" w:eastAsiaTheme="minorEastAsia"/>
              </w:rPr>
            </w:pPr>
          </w:p>
        </w:tc>
        <w:tc>
          <w:tcPr>
            <w:tcW w:w="1276"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投标公司的代理资质</w:t>
            </w:r>
          </w:p>
        </w:tc>
        <w:tc>
          <w:tcPr>
            <w:tcW w:w="850"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4</w:t>
            </w:r>
          </w:p>
        </w:tc>
        <w:tc>
          <w:tcPr>
            <w:tcW w:w="5954" w:type="dxa"/>
            <w:vAlign w:val="center"/>
          </w:tcPr>
          <w:p>
            <w:pPr>
              <w:spacing w:line="400" w:lineRule="exact"/>
              <w:rPr>
                <w:rFonts w:asciiTheme="minorEastAsia" w:hAnsiTheme="minorEastAsia" w:eastAsiaTheme="minorEastAsia"/>
              </w:rPr>
            </w:pPr>
            <w:r>
              <w:rPr>
                <w:rFonts w:hint="eastAsia" w:asciiTheme="minorEastAsia" w:hAnsiTheme="minorEastAsia" w:eastAsiaTheme="minorEastAsia"/>
              </w:rPr>
              <w:t>1、具有所投标产品生产厂商代理金牌资质的得2分。</w:t>
            </w:r>
          </w:p>
          <w:p>
            <w:pPr>
              <w:spacing w:line="400" w:lineRule="exact"/>
              <w:rPr>
                <w:rFonts w:asciiTheme="minorEastAsia" w:hAnsiTheme="minorEastAsia" w:eastAsiaTheme="minorEastAsia"/>
              </w:rPr>
            </w:pPr>
            <w:r>
              <w:rPr>
                <w:rFonts w:hint="eastAsia" w:asciiTheme="minorEastAsia" w:hAnsiTheme="minorEastAsia" w:eastAsiaTheme="minorEastAsia"/>
              </w:rPr>
              <w:t>2、具有IS09001质量管理体系认证得2分。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jc w:val="center"/>
        </w:trPr>
        <w:tc>
          <w:tcPr>
            <w:tcW w:w="1168" w:type="dxa"/>
            <w:vMerge w:val="continue"/>
            <w:vAlign w:val="center"/>
          </w:tcPr>
          <w:p>
            <w:pPr>
              <w:spacing w:line="400" w:lineRule="exact"/>
              <w:jc w:val="center"/>
              <w:rPr>
                <w:rFonts w:asciiTheme="minorEastAsia" w:hAnsiTheme="minorEastAsia" w:eastAsiaTheme="minorEastAsia"/>
              </w:rPr>
            </w:pPr>
          </w:p>
        </w:tc>
        <w:tc>
          <w:tcPr>
            <w:tcW w:w="1276"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江苏省银行同业案列</w:t>
            </w:r>
          </w:p>
        </w:tc>
        <w:tc>
          <w:tcPr>
            <w:tcW w:w="850" w:type="dxa"/>
            <w:vAlign w:val="center"/>
          </w:tcPr>
          <w:p>
            <w:pPr>
              <w:spacing w:line="400" w:lineRule="exact"/>
              <w:jc w:val="center"/>
              <w:rPr>
                <w:rFonts w:asciiTheme="minorEastAsia" w:hAnsiTheme="minorEastAsia" w:eastAsiaTheme="minorEastAsia"/>
              </w:rPr>
            </w:pPr>
            <w:r>
              <w:rPr>
                <w:rFonts w:hint="eastAsia" w:asciiTheme="minorEastAsia" w:hAnsiTheme="minorEastAsia" w:eastAsiaTheme="minorEastAsia"/>
              </w:rPr>
              <w:t>10</w:t>
            </w:r>
          </w:p>
        </w:tc>
        <w:tc>
          <w:tcPr>
            <w:tcW w:w="5954" w:type="dxa"/>
            <w:vAlign w:val="center"/>
          </w:tcPr>
          <w:p>
            <w:pPr>
              <w:spacing w:line="400" w:lineRule="exact"/>
              <w:ind w:left="210" w:hanging="210" w:hangingChars="100"/>
              <w:rPr>
                <w:rFonts w:asciiTheme="minorEastAsia" w:hAnsiTheme="minorEastAsia" w:eastAsiaTheme="minorEastAsia"/>
              </w:rPr>
            </w:pPr>
            <w:r>
              <w:rPr>
                <w:rFonts w:hint="eastAsia" w:asciiTheme="minorEastAsia" w:hAnsiTheme="minorEastAsia" w:eastAsiaTheme="minorEastAsia"/>
              </w:rPr>
              <w:t>1.具有江苏省农商行系统内各银行的案列合同复印件5家</w:t>
            </w:r>
            <w:r>
              <w:rPr>
                <w:rFonts w:hint="eastAsia" w:asciiTheme="minorEastAsia" w:hAnsiTheme="minorEastAsia" w:eastAsiaTheme="minorEastAsia"/>
                <w:lang w:eastAsia="zh-CN"/>
              </w:rPr>
              <w:t>以上</w:t>
            </w:r>
            <w:r>
              <w:rPr>
                <w:rFonts w:hint="eastAsia" w:asciiTheme="minorEastAsia" w:hAnsiTheme="minorEastAsia" w:eastAsiaTheme="minorEastAsia"/>
              </w:rPr>
              <w:t>，得10分</w:t>
            </w:r>
          </w:p>
          <w:p>
            <w:pPr>
              <w:spacing w:line="400" w:lineRule="exact"/>
              <w:ind w:left="210" w:hanging="210" w:hangingChars="100"/>
              <w:rPr>
                <w:rFonts w:asciiTheme="minorEastAsia" w:hAnsiTheme="minorEastAsia" w:eastAsiaTheme="minorEastAsia"/>
              </w:rPr>
            </w:pPr>
            <w:r>
              <w:rPr>
                <w:rFonts w:hint="eastAsia" w:asciiTheme="minorEastAsia" w:hAnsiTheme="minorEastAsia" w:eastAsiaTheme="minorEastAsia"/>
              </w:rPr>
              <w:t>2.具有江苏省农商行系统内各银行的案列合同复印件2</w:t>
            </w:r>
            <w:r>
              <w:rPr>
                <w:rFonts w:hint="eastAsia" w:asciiTheme="minorEastAsia" w:hAnsiTheme="minorEastAsia" w:eastAsiaTheme="minorEastAsia"/>
                <w:lang w:val="en-US" w:eastAsia="zh-CN"/>
              </w:rPr>
              <w:t>-4</w:t>
            </w:r>
            <w:r>
              <w:rPr>
                <w:rFonts w:hint="eastAsia" w:asciiTheme="minorEastAsia" w:hAnsiTheme="minorEastAsia" w:eastAsiaTheme="minorEastAsia"/>
              </w:rPr>
              <w:t>家，得5分</w:t>
            </w:r>
          </w:p>
          <w:p>
            <w:pPr>
              <w:spacing w:line="400" w:lineRule="exact"/>
              <w:rPr>
                <w:rFonts w:asciiTheme="minorEastAsia" w:hAnsiTheme="minorEastAsia" w:eastAsiaTheme="minorEastAsia"/>
              </w:rPr>
            </w:pPr>
            <w:r>
              <w:rPr>
                <w:rFonts w:hint="eastAsia" w:asciiTheme="minorEastAsia" w:hAnsiTheme="minorEastAsia" w:eastAsiaTheme="minorEastAsia"/>
              </w:rPr>
              <w:t>3.没有本省内同业合同案列或少于2家合同复印件 得0分。</w:t>
            </w:r>
          </w:p>
        </w:tc>
      </w:tr>
    </w:tbl>
    <w:p>
      <w:pPr>
        <w:rPr>
          <w:rFonts w:hint="default"/>
          <w:b/>
          <w:bCs/>
          <w:i/>
          <w:iCs/>
          <w:color w:val="FF0000"/>
          <w:sz w:val="32"/>
          <w:szCs w:val="32"/>
          <w:lang w:val="en-US"/>
        </w:rPr>
      </w:pPr>
      <w:r>
        <w:rPr>
          <w:rFonts w:hint="eastAsia"/>
          <w:b/>
          <w:bCs/>
          <w:color w:val="FF0000"/>
          <w:sz w:val="32"/>
          <w:szCs w:val="32"/>
          <w:lang w:eastAsia="zh-CN"/>
        </w:rPr>
        <w:t>以上佐证材料需按照顺序依次摆放，所有项目均需要有佐证材料，</w:t>
      </w:r>
      <w:r>
        <w:rPr>
          <w:rFonts w:hint="eastAsia"/>
          <w:b/>
          <w:bCs/>
          <w:i/>
          <w:iCs/>
          <w:color w:val="FF0000"/>
          <w:sz w:val="32"/>
          <w:szCs w:val="32"/>
          <w:lang w:eastAsia="zh-CN"/>
        </w:rPr>
        <w:t>此项非常重要！</w:t>
      </w:r>
    </w:p>
    <w:sectPr>
      <w:footerReference r:id="rId9" w:type="first"/>
      <w:footerReference r:id="rId8" w:type="default"/>
      <w:type w:val="oddPage"/>
      <w:pgSz w:w="11907" w:h="16840"/>
      <w:pgMar w:top="1418" w:right="1361" w:bottom="1440" w:left="1361" w:header="851" w:footer="709" w:gutter="0"/>
      <w:pgNumType w:fmt="numberInDash"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方正姚体">
    <w:altName w:val="宋体"/>
    <w:panose1 w:val="02010601030101010101"/>
    <w:charset w:val="86"/>
    <w:family w:val="auto"/>
    <w:pitch w:val="default"/>
    <w:sig w:usb0="00000000" w:usb1="00000000" w:usb2="00000010" w:usb3="00000000" w:csb0="00040000" w:csb1="00000000"/>
  </w:font>
  <w:font w:name="Songti SC Black">
    <w:altName w:val="Times New Roman"/>
    <w:panose1 w:val="00000000000000000000"/>
    <w:charset w:val="00"/>
    <w:family w:val="auto"/>
    <w:pitch w:val="default"/>
    <w:sig w:usb0="00000000" w:usb1="00000000" w:usb2="00000000" w:usb3="00000000" w:csb0="00000001" w:csb1="00000000"/>
  </w:font>
  <w:font w:name="Microsoft Tai Le">
    <w:panose1 w:val="020B0502040204020203"/>
    <w:charset w:val="00"/>
    <w:family w:val="swiss"/>
    <w:pitch w:val="default"/>
    <w:sig w:usb0="00000003" w:usb1="00000000" w:usb2="4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Times">
    <w:altName w:val="Times New Roman"/>
    <w:panose1 w:val="02020603050405020304"/>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spacing w:before="120" w:after="120"/>
      <w:rPr>
        <w:rStyle w:val="30"/>
      </w:rPr>
    </w:pPr>
    <w:r>
      <w:rPr>
        <w:rStyle w:val="30"/>
      </w:rPr>
      <w:fldChar w:fldCharType="begin"/>
    </w:r>
    <w:r>
      <w:rPr>
        <w:rStyle w:val="30"/>
      </w:rPr>
      <w:instrText xml:space="preserve">PAGE  </w:instrText>
    </w:r>
    <w:r>
      <w:rPr>
        <w:rStyle w:val="30"/>
      </w:rPr>
      <w:fldChar w:fldCharType="separate"/>
    </w:r>
    <w:r>
      <w:rPr>
        <w:rStyle w:val="30"/>
      </w:rPr>
      <w:t>2</w:t>
    </w:r>
    <w:r>
      <w:rPr>
        <w:rStyle w:val="30"/>
      </w:rPr>
      <w:fldChar w:fldCharType="end"/>
    </w:r>
  </w:p>
  <w:p>
    <w:pPr>
      <w:pStyle w:val="21"/>
      <w:spacing w:before="120" w:after="12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spacing w:before="120"/>
      <w:rPr>
        <w:rStyle w:val="30"/>
      </w:rPr>
    </w:pPr>
    <w:r>
      <w:rPr>
        <w:rStyle w:val="30"/>
      </w:rPr>
      <w:fldChar w:fldCharType="begin"/>
    </w:r>
    <w:r>
      <w:rPr>
        <w:rStyle w:val="30"/>
      </w:rPr>
      <w:instrText xml:space="preserve">PAGE  </w:instrText>
    </w:r>
    <w:r>
      <w:rPr>
        <w:rStyle w:val="30"/>
      </w:rPr>
      <w:fldChar w:fldCharType="end"/>
    </w:r>
  </w:p>
  <w:p>
    <w:pPr>
      <w:pStyle w:val="21"/>
      <w:spacing w:before="12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PAGE   \* MERGEFORMAT</w:instrText>
    </w:r>
    <w:r>
      <w:fldChar w:fldCharType="separate"/>
    </w:r>
    <w:r>
      <w:rPr>
        <w:lang w:val="zh-CN"/>
      </w:rPr>
      <w:t>-</w:t>
    </w:r>
    <w:r>
      <w:t xml:space="preserve"> 6 -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pacing w:before="120" w:after="120"/>
      <w:jc w:val="right"/>
    </w:pPr>
    <w:r>
      <w:rPr>
        <w:rStyle w:val="30"/>
        <w:rFonts w:hint="eastAsia"/>
      </w:rPr>
      <w:t xml:space="preserve">- </w:t>
    </w:r>
    <w:r>
      <w:rPr>
        <w:rStyle w:val="30"/>
      </w:rPr>
      <w:fldChar w:fldCharType="begin"/>
    </w:r>
    <w:r>
      <w:rPr>
        <w:rStyle w:val="30"/>
      </w:rPr>
      <w:instrText xml:space="preserve"> PAGE </w:instrText>
    </w:r>
    <w:r>
      <w:rPr>
        <w:rStyle w:val="30"/>
      </w:rPr>
      <w:fldChar w:fldCharType="separate"/>
    </w:r>
    <w:r>
      <w:rPr>
        <w:rStyle w:val="30"/>
      </w:rPr>
      <w:t>1</w:t>
    </w:r>
    <w:r>
      <w:rPr>
        <w:rStyle w:val="30"/>
      </w:rPr>
      <w:fldChar w:fldCharType="end"/>
    </w:r>
    <w:r>
      <w:rPr>
        <w:rStyle w:val="30"/>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ascii="方正姚体" w:eastAsia="方正姚体"/>
        <w:bCs/>
        <w:iCs/>
      </w:rPr>
      <w:t>江苏如皋农商</w:t>
    </w:r>
    <w:r>
      <w:rPr>
        <w:rFonts w:ascii="方正姚体" w:eastAsia="方正姚体"/>
        <w:bCs/>
        <w:iCs/>
      </w:rPr>
      <w:t>银行</w:t>
    </w:r>
    <w:r>
      <w:rPr>
        <w:rFonts w:hint="eastAsia" w:ascii="方正姚体" w:eastAsia="方正姚体"/>
        <w:bCs/>
        <w:iCs/>
      </w:rPr>
      <w:t>北塔智慧运维</w:t>
    </w:r>
    <w:r>
      <w:rPr>
        <w:rFonts w:ascii="方正姚体" w:eastAsia="方正姚体"/>
        <w:bCs/>
        <w:iCs/>
      </w:rPr>
      <w:t>管理平台项目邀</w:t>
    </w:r>
    <w:r>
      <w:rPr>
        <w:rFonts w:hint="eastAsia" w:ascii="方正姚体" w:eastAsia="方正姚体"/>
        <w:bCs/>
        <w:iCs/>
      </w:rPr>
      <w:t>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ascii="方正姚体" w:eastAsia="方正姚体"/>
        <w:bCs/>
        <w:iCs/>
      </w:rPr>
      <w:t>江苏如皋农商</w:t>
    </w:r>
    <w:r>
      <w:rPr>
        <w:rFonts w:ascii="方正姚体" w:eastAsia="方正姚体"/>
        <w:bCs/>
        <w:iCs/>
      </w:rPr>
      <w:t>银行</w:t>
    </w:r>
    <w:r>
      <w:rPr>
        <w:rFonts w:hint="eastAsia" w:ascii="方正姚体" w:eastAsia="方正姚体"/>
        <w:bCs/>
        <w:iCs/>
      </w:rPr>
      <w:t>北塔智慧运维</w:t>
    </w:r>
    <w:r>
      <w:rPr>
        <w:rFonts w:ascii="方正姚体" w:eastAsia="方正姚体"/>
        <w:bCs/>
        <w:iCs/>
      </w:rPr>
      <w:t>管理平台项目邀</w:t>
    </w:r>
    <w:r>
      <w:rPr>
        <w:rFonts w:hint="eastAsia" w:ascii="方正姚体" w:eastAsia="方正姚体"/>
        <w:bCs/>
        <w:iCs/>
      </w:rPr>
      <w:t>标文件</w:t>
    </w:r>
  </w:p>
  <w:p>
    <w:pPr>
      <w:jc w:val="center"/>
      <w:rPr>
        <w:rFonts w:ascii="新宋体" w:hAnsi="新宋体" w:eastAsia="新宋体"/>
        <w:color w:val="000000"/>
        <w:sz w:val="36"/>
        <w:szCs w:val="36"/>
      </w:rPr>
    </w:pPr>
  </w:p>
  <w:p>
    <w:pPr>
      <w:pStyle w:val="22"/>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081AE7"/>
    <w:multiLevelType w:val="singleLevel"/>
    <w:tmpl w:val="A4081AE7"/>
    <w:lvl w:ilvl="0" w:tentative="0">
      <w:start w:val="1"/>
      <w:numFmt w:val="decimal"/>
      <w:lvlText w:val="%1."/>
      <w:lvlJc w:val="left"/>
      <w:pPr>
        <w:tabs>
          <w:tab w:val="left" w:pos="312"/>
        </w:tabs>
      </w:pPr>
    </w:lvl>
  </w:abstractNum>
  <w:abstractNum w:abstractNumId="1">
    <w:nsid w:val="15E77242"/>
    <w:multiLevelType w:val="multilevel"/>
    <w:tmpl w:val="15E77242"/>
    <w:lvl w:ilvl="0" w:tentative="0">
      <w:start w:val="1"/>
      <w:numFmt w:val="bullet"/>
      <w:pStyle w:val="4"/>
      <w:lvlText w:val=""/>
      <w:lvlJc w:val="left"/>
      <w:pPr>
        <w:tabs>
          <w:tab w:val="left" w:pos="1260"/>
        </w:tabs>
        <w:ind w:left="1260" w:hanging="42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2">
    <w:nsid w:val="1AE032FB"/>
    <w:multiLevelType w:val="singleLevel"/>
    <w:tmpl w:val="1AE032FB"/>
    <w:lvl w:ilvl="0" w:tentative="0">
      <w:start w:val="1"/>
      <w:numFmt w:val="bullet"/>
      <w:pStyle w:val="52"/>
      <w:lvlText w:val=""/>
      <w:lvlJc w:val="left"/>
      <w:pPr>
        <w:tabs>
          <w:tab w:val="left" w:pos="425"/>
        </w:tabs>
        <w:ind w:left="425" w:hanging="425"/>
      </w:pPr>
      <w:rPr>
        <w:rFonts w:hint="default" w:ascii="Wingdings" w:hAnsi="Wingdings"/>
      </w:rPr>
    </w:lvl>
  </w:abstractNum>
  <w:abstractNum w:abstractNumId="3">
    <w:nsid w:val="1B901C9D"/>
    <w:multiLevelType w:val="multilevel"/>
    <w:tmpl w:val="1B901C9D"/>
    <w:lvl w:ilvl="0" w:tentative="0">
      <w:start w:val="1"/>
      <w:numFmt w:val="chineseCountingThousand"/>
      <w:pStyle w:val="2"/>
      <w:lvlText w:val="第%1部分"/>
      <w:lvlJc w:val="right"/>
      <w:pPr>
        <w:tabs>
          <w:tab w:val="left" w:pos="1191"/>
        </w:tabs>
        <w:ind w:left="1191" w:hanging="349"/>
      </w:pPr>
      <w:rPr>
        <w:rFonts w:hint="eastAsia"/>
        <w:lang w:val="en-US"/>
      </w:rPr>
    </w:lvl>
    <w:lvl w:ilvl="1" w:tentative="0">
      <w:start w:val="1"/>
      <w:numFmt w:val="decimal"/>
      <w:pStyle w:val="5"/>
      <w:lvlText w:val="%2."/>
      <w:lvlJc w:val="left"/>
      <w:pPr>
        <w:tabs>
          <w:tab w:val="left" w:pos="567"/>
        </w:tabs>
        <w:ind w:left="567" w:hanging="567"/>
      </w:pPr>
      <w:rPr>
        <w:rFonts w:hint="eastAsia"/>
      </w:rPr>
    </w:lvl>
    <w:lvl w:ilvl="2" w:tentative="0">
      <w:start w:val="1"/>
      <w:numFmt w:val="decimal"/>
      <w:lvlText w:val="%3)"/>
      <w:lvlJc w:val="left"/>
      <w:pPr>
        <w:tabs>
          <w:tab w:val="left" w:pos="1260"/>
        </w:tabs>
        <w:ind w:left="1260" w:hanging="42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decimal"/>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E2B1722"/>
    <w:multiLevelType w:val="multilevel"/>
    <w:tmpl w:val="1E2B1722"/>
    <w:lvl w:ilvl="0" w:tentative="0">
      <w:start w:val="1"/>
      <w:numFmt w:val="decimal"/>
      <w:lvlText w:val="%1、"/>
      <w:lvlJc w:val="left"/>
      <w:pPr>
        <w:ind w:left="1170" w:hanging="75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66823C8"/>
    <w:multiLevelType w:val="multilevel"/>
    <w:tmpl w:val="266823C8"/>
    <w:lvl w:ilvl="0" w:tentative="0">
      <w:start w:val="1"/>
      <w:numFmt w:val="decimal"/>
      <w:lvlText w:val="%1."/>
      <w:lvlJc w:val="left"/>
      <w:pPr>
        <w:ind w:left="480" w:hanging="480"/>
      </w:p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6">
    <w:nsid w:val="2B6459F1"/>
    <w:multiLevelType w:val="multilevel"/>
    <w:tmpl w:val="2B6459F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7B64F96"/>
    <w:multiLevelType w:val="multilevel"/>
    <w:tmpl w:val="47B64F96"/>
    <w:lvl w:ilvl="0" w:tentative="0">
      <w:start w:val="1"/>
      <w:numFmt w:val="japaneseCounting"/>
      <w:lvlText w:val="（%1）"/>
      <w:lvlJc w:val="left"/>
      <w:pPr>
        <w:ind w:left="720" w:hanging="720"/>
      </w:pPr>
      <w:rPr>
        <w:rFonts w:hint="default"/>
      </w:r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abstractNum w:abstractNumId="8">
    <w:nsid w:val="575F3025"/>
    <w:multiLevelType w:val="multilevel"/>
    <w:tmpl w:val="575F3025"/>
    <w:lvl w:ilvl="0" w:tentative="0">
      <w:start w:val="1"/>
      <w:numFmt w:val="low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9">
    <w:nsid w:val="5D973EE2"/>
    <w:multiLevelType w:val="multilevel"/>
    <w:tmpl w:val="5D973EE2"/>
    <w:lvl w:ilvl="0" w:tentative="0">
      <w:start w:val="1"/>
      <w:numFmt w:val="bullet"/>
      <w:pStyle w:val="40"/>
      <w:lvlText w:val=""/>
      <w:lvlJc w:val="left"/>
      <w:pPr>
        <w:tabs>
          <w:tab w:val="left" w:pos="1409"/>
        </w:tabs>
        <w:ind w:left="1409" w:hanging="724"/>
      </w:pPr>
      <w:rPr>
        <w:rFonts w:hint="default" w:ascii="Wingdings" w:hAnsi="Wingdings"/>
      </w:rPr>
    </w:lvl>
    <w:lvl w:ilvl="1" w:tentative="0">
      <w:start w:val="1"/>
      <w:numFmt w:val="lowerLetter"/>
      <w:lvlText w:val="%2)"/>
      <w:lvlJc w:val="right"/>
      <w:pPr>
        <w:tabs>
          <w:tab w:val="left" w:pos="1474"/>
        </w:tabs>
        <w:ind w:left="1474" w:hanging="340"/>
      </w:pPr>
      <w:rPr>
        <w:rFonts w:hint="eastAsia"/>
      </w:rPr>
    </w:lvl>
    <w:lvl w:ilvl="2" w:tentative="0">
      <w:start w:val="1"/>
      <w:numFmt w:val="decimal"/>
      <w:lvlText w:val="%3、"/>
      <w:lvlJc w:val="left"/>
      <w:pPr>
        <w:tabs>
          <w:tab w:val="left" w:pos="2155"/>
        </w:tabs>
        <w:ind w:left="2155" w:hanging="360"/>
      </w:pPr>
      <w:rPr>
        <w:rFonts w:hint="eastAsia"/>
      </w:rPr>
    </w:lvl>
    <w:lvl w:ilvl="3" w:tentative="0">
      <w:start w:val="14"/>
      <w:numFmt w:val="decimal"/>
      <w:lvlText w:val="%4．"/>
      <w:lvlJc w:val="left"/>
      <w:pPr>
        <w:tabs>
          <w:tab w:val="left" w:pos="2695"/>
        </w:tabs>
        <w:ind w:left="2695" w:hanging="480"/>
      </w:pPr>
      <w:rPr>
        <w:rFonts w:hint="eastAsia"/>
      </w:rPr>
    </w:lvl>
    <w:lvl w:ilvl="4" w:tentative="0">
      <w:start w:val="1"/>
      <w:numFmt w:val="bullet"/>
      <w:lvlText w:val=""/>
      <w:lvlJc w:val="left"/>
      <w:pPr>
        <w:tabs>
          <w:tab w:val="left" w:pos="3055"/>
        </w:tabs>
        <w:ind w:left="3055" w:hanging="420"/>
      </w:pPr>
      <w:rPr>
        <w:rFonts w:hint="default" w:ascii="Wingdings" w:hAnsi="Wingdings"/>
      </w:rPr>
    </w:lvl>
    <w:lvl w:ilvl="5" w:tentative="0">
      <w:start w:val="1"/>
      <w:numFmt w:val="bullet"/>
      <w:lvlText w:val=""/>
      <w:lvlJc w:val="left"/>
      <w:pPr>
        <w:tabs>
          <w:tab w:val="left" w:pos="3475"/>
        </w:tabs>
        <w:ind w:left="3475" w:hanging="420"/>
      </w:pPr>
      <w:rPr>
        <w:rFonts w:hint="default" w:ascii="Wingdings" w:hAnsi="Wingdings"/>
      </w:rPr>
    </w:lvl>
    <w:lvl w:ilvl="6" w:tentative="0">
      <w:start w:val="1"/>
      <w:numFmt w:val="bullet"/>
      <w:lvlText w:val=""/>
      <w:lvlJc w:val="left"/>
      <w:pPr>
        <w:tabs>
          <w:tab w:val="left" w:pos="3895"/>
        </w:tabs>
        <w:ind w:left="3895" w:hanging="420"/>
      </w:pPr>
      <w:rPr>
        <w:rFonts w:hint="default" w:ascii="Wingdings" w:hAnsi="Wingdings"/>
      </w:rPr>
    </w:lvl>
    <w:lvl w:ilvl="7" w:tentative="0">
      <w:start w:val="1"/>
      <w:numFmt w:val="bullet"/>
      <w:lvlText w:val=""/>
      <w:lvlJc w:val="left"/>
      <w:pPr>
        <w:tabs>
          <w:tab w:val="left" w:pos="4315"/>
        </w:tabs>
        <w:ind w:left="4315" w:hanging="420"/>
      </w:pPr>
      <w:rPr>
        <w:rFonts w:hint="default" w:ascii="Wingdings" w:hAnsi="Wingdings"/>
      </w:rPr>
    </w:lvl>
    <w:lvl w:ilvl="8" w:tentative="0">
      <w:start w:val="1"/>
      <w:numFmt w:val="bullet"/>
      <w:lvlText w:val=""/>
      <w:lvlJc w:val="left"/>
      <w:pPr>
        <w:tabs>
          <w:tab w:val="left" w:pos="4735"/>
        </w:tabs>
        <w:ind w:left="4735" w:hanging="420"/>
      </w:pPr>
      <w:rPr>
        <w:rFonts w:hint="default" w:ascii="Wingdings" w:hAnsi="Wingdings"/>
      </w:rPr>
    </w:lvl>
  </w:abstractNum>
  <w:abstractNum w:abstractNumId="10">
    <w:nsid w:val="5E397515"/>
    <w:multiLevelType w:val="multilevel"/>
    <w:tmpl w:val="5E397515"/>
    <w:lvl w:ilvl="0" w:tentative="0">
      <w:start w:val="1"/>
      <w:numFmt w:val="japaneseCounting"/>
      <w:lvlText w:val="%1、"/>
      <w:lvlJc w:val="left"/>
      <w:pPr>
        <w:tabs>
          <w:tab w:val="left" w:pos="1572"/>
        </w:tabs>
        <w:ind w:left="1572" w:hanging="720"/>
      </w:pPr>
      <w:rPr>
        <w:rFonts w:hint="eastAsia" w:ascii="仿宋_GB2312" w:hAnsi="Times New Roman" w:eastAsia="仿宋_GB2312" w:cs="Times New Roman"/>
      </w:rPr>
    </w:lvl>
    <w:lvl w:ilvl="1" w:tentative="0">
      <w:start w:val="1"/>
      <w:numFmt w:val="decimal"/>
      <w:lvlText w:val="%2、"/>
      <w:lvlJc w:val="left"/>
      <w:pPr>
        <w:tabs>
          <w:tab w:val="left" w:pos="1980"/>
        </w:tabs>
        <w:ind w:left="1980" w:hanging="720"/>
      </w:pPr>
      <w:rPr>
        <w:rFonts w:hint="default"/>
      </w:r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11">
    <w:nsid w:val="6B04413C"/>
    <w:multiLevelType w:val="multilevel"/>
    <w:tmpl w:val="6B04413C"/>
    <w:lvl w:ilvl="0" w:tentative="0">
      <w:start w:val="1"/>
      <w:numFmt w:val="upperLetter"/>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2">
    <w:nsid w:val="6C0121E1"/>
    <w:multiLevelType w:val="multilevel"/>
    <w:tmpl w:val="6C0121E1"/>
    <w:lvl w:ilvl="0" w:tentative="0">
      <w:start w:val="1"/>
      <w:numFmt w:val="decimal"/>
      <w:lvlText w:val="%1、"/>
      <w:lvlJc w:val="left"/>
      <w:pPr>
        <w:ind w:left="1212"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3">
    <w:nsid w:val="6C027D86"/>
    <w:multiLevelType w:val="singleLevel"/>
    <w:tmpl w:val="6C027D86"/>
    <w:lvl w:ilvl="0" w:tentative="0">
      <w:start w:val="6"/>
      <w:numFmt w:val="chineseCounting"/>
      <w:suff w:val="space"/>
      <w:lvlText w:val="第%1部分"/>
      <w:lvlJc w:val="left"/>
      <w:rPr>
        <w:rFonts w:hint="eastAsia"/>
      </w:rPr>
    </w:lvl>
  </w:abstractNum>
  <w:num w:numId="1">
    <w:abstractNumId w:val="3"/>
  </w:num>
  <w:num w:numId="2">
    <w:abstractNumId w:val="1"/>
  </w:num>
  <w:num w:numId="3">
    <w:abstractNumId w:val="9"/>
  </w:num>
  <w:num w:numId="4">
    <w:abstractNumId w:val="2"/>
  </w:num>
  <w:num w:numId="5">
    <w:abstractNumId w:val="6"/>
  </w:num>
  <w:num w:numId="6">
    <w:abstractNumId w:val="7"/>
  </w:num>
  <w:num w:numId="7">
    <w:abstractNumId w:val="8"/>
  </w:num>
  <w:num w:numId="8">
    <w:abstractNumId w:val="10"/>
  </w:num>
  <w:num w:numId="9">
    <w:abstractNumId w:val="11"/>
  </w:num>
  <w:num w:numId="10">
    <w:abstractNumId w:val="12"/>
  </w:num>
  <w:num w:numId="11">
    <w:abstractNumId w:val="13"/>
  </w:num>
  <w:num w:numId="12">
    <w:abstractNumId w:val="4"/>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60808"/>
    <w:rsid w:val="00000E01"/>
    <w:rsid w:val="00003A9F"/>
    <w:rsid w:val="0002261E"/>
    <w:rsid w:val="00022C22"/>
    <w:rsid w:val="0002780D"/>
    <w:rsid w:val="00030593"/>
    <w:rsid w:val="00037925"/>
    <w:rsid w:val="0005257F"/>
    <w:rsid w:val="000547F4"/>
    <w:rsid w:val="00061EF5"/>
    <w:rsid w:val="00065839"/>
    <w:rsid w:val="00083FDF"/>
    <w:rsid w:val="0009380E"/>
    <w:rsid w:val="00095C65"/>
    <w:rsid w:val="000B4182"/>
    <w:rsid w:val="000B5C21"/>
    <w:rsid w:val="000C4397"/>
    <w:rsid w:val="000C4E54"/>
    <w:rsid w:val="000C50C2"/>
    <w:rsid w:val="000D1686"/>
    <w:rsid w:val="000E0756"/>
    <w:rsid w:val="000E5C0A"/>
    <w:rsid w:val="000E627C"/>
    <w:rsid w:val="000F0775"/>
    <w:rsid w:val="000F495E"/>
    <w:rsid w:val="000F63CC"/>
    <w:rsid w:val="000F66C5"/>
    <w:rsid w:val="00102A3D"/>
    <w:rsid w:val="00107112"/>
    <w:rsid w:val="00111239"/>
    <w:rsid w:val="00113468"/>
    <w:rsid w:val="00115E49"/>
    <w:rsid w:val="00123961"/>
    <w:rsid w:val="00127D1E"/>
    <w:rsid w:val="00132942"/>
    <w:rsid w:val="00137DCB"/>
    <w:rsid w:val="001412A1"/>
    <w:rsid w:val="001420A4"/>
    <w:rsid w:val="00144EC3"/>
    <w:rsid w:val="001515BC"/>
    <w:rsid w:val="001542F5"/>
    <w:rsid w:val="00156F78"/>
    <w:rsid w:val="00160808"/>
    <w:rsid w:val="00163868"/>
    <w:rsid w:val="0017326E"/>
    <w:rsid w:val="00177C40"/>
    <w:rsid w:val="001827C9"/>
    <w:rsid w:val="00185908"/>
    <w:rsid w:val="00187552"/>
    <w:rsid w:val="00191513"/>
    <w:rsid w:val="0019455E"/>
    <w:rsid w:val="00195AF0"/>
    <w:rsid w:val="001A09E1"/>
    <w:rsid w:val="001A6839"/>
    <w:rsid w:val="001A7631"/>
    <w:rsid w:val="001B5D5C"/>
    <w:rsid w:val="001C30E7"/>
    <w:rsid w:val="001D755C"/>
    <w:rsid w:val="001E53BA"/>
    <w:rsid w:val="001E5F7F"/>
    <w:rsid w:val="001E635D"/>
    <w:rsid w:val="001E78CF"/>
    <w:rsid w:val="001F1063"/>
    <w:rsid w:val="001F57D7"/>
    <w:rsid w:val="001F5DAB"/>
    <w:rsid w:val="00201395"/>
    <w:rsid w:val="00205242"/>
    <w:rsid w:val="00220693"/>
    <w:rsid w:val="00222830"/>
    <w:rsid w:val="002301DE"/>
    <w:rsid w:val="0023758C"/>
    <w:rsid w:val="00237D22"/>
    <w:rsid w:val="0024239D"/>
    <w:rsid w:val="002431BE"/>
    <w:rsid w:val="00247D5E"/>
    <w:rsid w:val="0027247C"/>
    <w:rsid w:val="00273646"/>
    <w:rsid w:val="00283383"/>
    <w:rsid w:val="00284148"/>
    <w:rsid w:val="0028482B"/>
    <w:rsid w:val="00284963"/>
    <w:rsid w:val="00285BC0"/>
    <w:rsid w:val="00290F19"/>
    <w:rsid w:val="00291C8E"/>
    <w:rsid w:val="00293301"/>
    <w:rsid w:val="00295655"/>
    <w:rsid w:val="00295EF4"/>
    <w:rsid w:val="002A1A08"/>
    <w:rsid w:val="002A40E5"/>
    <w:rsid w:val="002B057D"/>
    <w:rsid w:val="002B3DD6"/>
    <w:rsid w:val="002B6556"/>
    <w:rsid w:val="002C03F9"/>
    <w:rsid w:val="002C789E"/>
    <w:rsid w:val="003171C7"/>
    <w:rsid w:val="00326EBD"/>
    <w:rsid w:val="003279D5"/>
    <w:rsid w:val="00334CF2"/>
    <w:rsid w:val="0034676D"/>
    <w:rsid w:val="00361D46"/>
    <w:rsid w:val="00365340"/>
    <w:rsid w:val="00374A4F"/>
    <w:rsid w:val="00382D79"/>
    <w:rsid w:val="00383D22"/>
    <w:rsid w:val="00392933"/>
    <w:rsid w:val="00394291"/>
    <w:rsid w:val="003A021C"/>
    <w:rsid w:val="003A0914"/>
    <w:rsid w:val="003A0C8D"/>
    <w:rsid w:val="003A47ED"/>
    <w:rsid w:val="003C25E7"/>
    <w:rsid w:val="003C5681"/>
    <w:rsid w:val="003C7B6C"/>
    <w:rsid w:val="003D52BA"/>
    <w:rsid w:val="003E2CBE"/>
    <w:rsid w:val="003E7F3F"/>
    <w:rsid w:val="003F231F"/>
    <w:rsid w:val="003F28B2"/>
    <w:rsid w:val="003F6BB7"/>
    <w:rsid w:val="00401B69"/>
    <w:rsid w:val="00401E20"/>
    <w:rsid w:val="00404276"/>
    <w:rsid w:val="00411764"/>
    <w:rsid w:val="00414802"/>
    <w:rsid w:val="00444426"/>
    <w:rsid w:val="00446409"/>
    <w:rsid w:val="00462D6A"/>
    <w:rsid w:val="00466710"/>
    <w:rsid w:val="004679EC"/>
    <w:rsid w:val="00474939"/>
    <w:rsid w:val="00481D88"/>
    <w:rsid w:val="00484BCF"/>
    <w:rsid w:val="004A7627"/>
    <w:rsid w:val="004B25A8"/>
    <w:rsid w:val="004B49CF"/>
    <w:rsid w:val="004B7610"/>
    <w:rsid w:val="004C3A89"/>
    <w:rsid w:val="004C6961"/>
    <w:rsid w:val="004D6A75"/>
    <w:rsid w:val="004D7F69"/>
    <w:rsid w:val="004E6C3F"/>
    <w:rsid w:val="004F06F7"/>
    <w:rsid w:val="005014ED"/>
    <w:rsid w:val="00503CB5"/>
    <w:rsid w:val="00503DB5"/>
    <w:rsid w:val="00511970"/>
    <w:rsid w:val="00513F4A"/>
    <w:rsid w:val="0052627B"/>
    <w:rsid w:val="00532A03"/>
    <w:rsid w:val="00541C6F"/>
    <w:rsid w:val="0054712E"/>
    <w:rsid w:val="00555B7F"/>
    <w:rsid w:val="005567D8"/>
    <w:rsid w:val="00560008"/>
    <w:rsid w:val="00572EB2"/>
    <w:rsid w:val="0058054A"/>
    <w:rsid w:val="005841F3"/>
    <w:rsid w:val="00587B9E"/>
    <w:rsid w:val="005A0801"/>
    <w:rsid w:val="005A1F3F"/>
    <w:rsid w:val="005A2E96"/>
    <w:rsid w:val="005A7235"/>
    <w:rsid w:val="005A7456"/>
    <w:rsid w:val="005B2E9E"/>
    <w:rsid w:val="005B75B5"/>
    <w:rsid w:val="005C2B06"/>
    <w:rsid w:val="005D1C4E"/>
    <w:rsid w:val="005D38E5"/>
    <w:rsid w:val="005D65B3"/>
    <w:rsid w:val="005E4E15"/>
    <w:rsid w:val="005E510D"/>
    <w:rsid w:val="005F288B"/>
    <w:rsid w:val="005F5BAC"/>
    <w:rsid w:val="00612749"/>
    <w:rsid w:val="00615462"/>
    <w:rsid w:val="0064273C"/>
    <w:rsid w:val="00642A7C"/>
    <w:rsid w:val="00650727"/>
    <w:rsid w:val="006526E1"/>
    <w:rsid w:val="006540DC"/>
    <w:rsid w:val="00660E45"/>
    <w:rsid w:val="00664928"/>
    <w:rsid w:val="00664EBC"/>
    <w:rsid w:val="006700EA"/>
    <w:rsid w:val="00670291"/>
    <w:rsid w:val="00670C3B"/>
    <w:rsid w:val="00673E9C"/>
    <w:rsid w:val="006845F3"/>
    <w:rsid w:val="00691595"/>
    <w:rsid w:val="006A5933"/>
    <w:rsid w:val="006C0146"/>
    <w:rsid w:val="006C018A"/>
    <w:rsid w:val="006C7904"/>
    <w:rsid w:val="006D063D"/>
    <w:rsid w:val="006E651C"/>
    <w:rsid w:val="006E7779"/>
    <w:rsid w:val="007109FD"/>
    <w:rsid w:val="00711932"/>
    <w:rsid w:val="00715E8B"/>
    <w:rsid w:val="00715FA8"/>
    <w:rsid w:val="0072005E"/>
    <w:rsid w:val="0072569F"/>
    <w:rsid w:val="007279D8"/>
    <w:rsid w:val="00732F94"/>
    <w:rsid w:val="007331FC"/>
    <w:rsid w:val="0074053D"/>
    <w:rsid w:val="00747CA2"/>
    <w:rsid w:val="00762D3B"/>
    <w:rsid w:val="007631F7"/>
    <w:rsid w:val="00770080"/>
    <w:rsid w:val="0077127F"/>
    <w:rsid w:val="00773D4F"/>
    <w:rsid w:val="00776F23"/>
    <w:rsid w:val="00777589"/>
    <w:rsid w:val="00780CF8"/>
    <w:rsid w:val="00785546"/>
    <w:rsid w:val="0079269C"/>
    <w:rsid w:val="007A2919"/>
    <w:rsid w:val="007A3FAC"/>
    <w:rsid w:val="007A4342"/>
    <w:rsid w:val="007A6652"/>
    <w:rsid w:val="007A75BD"/>
    <w:rsid w:val="007C7BFA"/>
    <w:rsid w:val="007D15DC"/>
    <w:rsid w:val="007D608E"/>
    <w:rsid w:val="007E2250"/>
    <w:rsid w:val="007F5913"/>
    <w:rsid w:val="00806823"/>
    <w:rsid w:val="00807327"/>
    <w:rsid w:val="00816C18"/>
    <w:rsid w:val="008215D1"/>
    <w:rsid w:val="00822E1F"/>
    <w:rsid w:val="00826B1D"/>
    <w:rsid w:val="0083300F"/>
    <w:rsid w:val="00833CA0"/>
    <w:rsid w:val="00841B31"/>
    <w:rsid w:val="0084676C"/>
    <w:rsid w:val="0085032C"/>
    <w:rsid w:val="0085102C"/>
    <w:rsid w:val="00853BFB"/>
    <w:rsid w:val="00856F12"/>
    <w:rsid w:val="008577FC"/>
    <w:rsid w:val="00857C8D"/>
    <w:rsid w:val="00862A48"/>
    <w:rsid w:val="00862D8C"/>
    <w:rsid w:val="00865BC7"/>
    <w:rsid w:val="00882694"/>
    <w:rsid w:val="008838C1"/>
    <w:rsid w:val="008864CA"/>
    <w:rsid w:val="00886F1F"/>
    <w:rsid w:val="00891923"/>
    <w:rsid w:val="008941BD"/>
    <w:rsid w:val="00894854"/>
    <w:rsid w:val="00897BC1"/>
    <w:rsid w:val="008A0346"/>
    <w:rsid w:val="008A1A3E"/>
    <w:rsid w:val="008A3848"/>
    <w:rsid w:val="008A776E"/>
    <w:rsid w:val="008B3DDF"/>
    <w:rsid w:val="008C34FE"/>
    <w:rsid w:val="008C6419"/>
    <w:rsid w:val="008C6CD7"/>
    <w:rsid w:val="008C784E"/>
    <w:rsid w:val="008C7DB1"/>
    <w:rsid w:val="008D0BF7"/>
    <w:rsid w:val="008E127B"/>
    <w:rsid w:val="008E641C"/>
    <w:rsid w:val="008E6CFF"/>
    <w:rsid w:val="008F1AA9"/>
    <w:rsid w:val="008F7419"/>
    <w:rsid w:val="00906789"/>
    <w:rsid w:val="0091256B"/>
    <w:rsid w:val="009157DF"/>
    <w:rsid w:val="00915B09"/>
    <w:rsid w:val="00923238"/>
    <w:rsid w:val="00924826"/>
    <w:rsid w:val="009346BF"/>
    <w:rsid w:val="00936433"/>
    <w:rsid w:val="00937DFC"/>
    <w:rsid w:val="009434F6"/>
    <w:rsid w:val="00943532"/>
    <w:rsid w:val="00960C5E"/>
    <w:rsid w:val="009640F6"/>
    <w:rsid w:val="009725A9"/>
    <w:rsid w:val="00975501"/>
    <w:rsid w:val="00981D0B"/>
    <w:rsid w:val="0098551E"/>
    <w:rsid w:val="0098600C"/>
    <w:rsid w:val="00987E75"/>
    <w:rsid w:val="00990A8C"/>
    <w:rsid w:val="00996E0C"/>
    <w:rsid w:val="009A4EBE"/>
    <w:rsid w:val="009B11A6"/>
    <w:rsid w:val="009B33B4"/>
    <w:rsid w:val="009B55F0"/>
    <w:rsid w:val="009B7B1B"/>
    <w:rsid w:val="009C0C9A"/>
    <w:rsid w:val="009C7408"/>
    <w:rsid w:val="009C7EFF"/>
    <w:rsid w:val="009D3DCF"/>
    <w:rsid w:val="009D7B70"/>
    <w:rsid w:val="009D7E5E"/>
    <w:rsid w:val="009E5E7E"/>
    <w:rsid w:val="009E7F21"/>
    <w:rsid w:val="009F19C2"/>
    <w:rsid w:val="00A02B83"/>
    <w:rsid w:val="00A1479F"/>
    <w:rsid w:val="00A15815"/>
    <w:rsid w:val="00A16328"/>
    <w:rsid w:val="00A1641B"/>
    <w:rsid w:val="00A3671A"/>
    <w:rsid w:val="00A374F5"/>
    <w:rsid w:val="00A42A65"/>
    <w:rsid w:val="00A4512F"/>
    <w:rsid w:val="00A5323F"/>
    <w:rsid w:val="00A55D5F"/>
    <w:rsid w:val="00A5772A"/>
    <w:rsid w:val="00A75311"/>
    <w:rsid w:val="00A82CCB"/>
    <w:rsid w:val="00A84B04"/>
    <w:rsid w:val="00A97700"/>
    <w:rsid w:val="00A97775"/>
    <w:rsid w:val="00AB065A"/>
    <w:rsid w:val="00AB1EE1"/>
    <w:rsid w:val="00AB518A"/>
    <w:rsid w:val="00AB5B03"/>
    <w:rsid w:val="00AD0AC7"/>
    <w:rsid w:val="00AE40C0"/>
    <w:rsid w:val="00B0149D"/>
    <w:rsid w:val="00B01D0C"/>
    <w:rsid w:val="00B02C3E"/>
    <w:rsid w:val="00B03134"/>
    <w:rsid w:val="00B03950"/>
    <w:rsid w:val="00B13889"/>
    <w:rsid w:val="00B166C6"/>
    <w:rsid w:val="00B17CDE"/>
    <w:rsid w:val="00B226C1"/>
    <w:rsid w:val="00B248F6"/>
    <w:rsid w:val="00B24ECE"/>
    <w:rsid w:val="00B25364"/>
    <w:rsid w:val="00B35247"/>
    <w:rsid w:val="00B544DD"/>
    <w:rsid w:val="00B60E30"/>
    <w:rsid w:val="00B701B4"/>
    <w:rsid w:val="00B7358D"/>
    <w:rsid w:val="00B75279"/>
    <w:rsid w:val="00B770DC"/>
    <w:rsid w:val="00B854FA"/>
    <w:rsid w:val="00B906B0"/>
    <w:rsid w:val="00B9269A"/>
    <w:rsid w:val="00BA0B01"/>
    <w:rsid w:val="00BA5EE6"/>
    <w:rsid w:val="00BB7FD9"/>
    <w:rsid w:val="00BC125C"/>
    <w:rsid w:val="00BC125D"/>
    <w:rsid w:val="00BC5EA7"/>
    <w:rsid w:val="00BE264A"/>
    <w:rsid w:val="00BE2C81"/>
    <w:rsid w:val="00BE4C0A"/>
    <w:rsid w:val="00BE5268"/>
    <w:rsid w:val="00BF5BB7"/>
    <w:rsid w:val="00C14FF7"/>
    <w:rsid w:val="00C20B37"/>
    <w:rsid w:val="00C21781"/>
    <w:rsid w:val="00C3602B"/>
    <w:rsid w:val="00C45C64"/>
    <w:rsid w:val="00C45E55"/>
    <w:rsid w:val="00C6134F"/>
    <w:rsid w:val="00C65FB1"/>
    <w:rsid w:val="00C80F1E"/>
    <w:rsid w:val="00C83F6E"/>
    <w:rsid w:val="00C863BE"/>
    <w:rsid w:val="00C863D8"/>
    <w:rsid w:val="00C97E98"/>
    <w:rsid w:val="00CA1F62"/>
    <w:rsid w:val="00CA578C"/>
    <w:rsid w:val="00CB7865"/>
    <w:rsid w:val="00CC44E5"/>
    <w:rsid w:val="00CC55D8"/>
    <w:rsid w:val="00CD2996"/>
    <w:rsid w:val="00CE2242"/>
    <w:rsid w:val="00CE23D1"/>
    <w:rsid w:val="00CE50F0"/>
    <w:rsid w:val="00CE6127"/>
    <w:rsid w:val="00CE704E"/>
    <w:rsid w:val="00CF4A9C"/>
    <w:rsid w:val="00D06B1B"/>
    <w:rsid w:val="00D17661"/>
    <w:rsid w:val="00D26F16"/>
    <w:rsid w:val="00D3725C"/>
    <w:rsid w:val="00D447FC"/>
    <w:rsid w:val="00D62863"/>
    <w:rsid w:val="00D62F61"/>
    <w:rsid w:val="00D64735"/>
    <w:rsid w:val="00D73F1D"/>
    <w:rsid w:val="00D772D6"/>
    <w:rsid w:val="00D83854"/>
    <w:rsid w:val="00D93E11"/>
    <w:rsid w:val="00D95C23"/>
    <w:rsid w:val="00DA0B66"/>
    <w:rsid w:val="00DA3A62"/>
    <w:rsid w:val="00DA5C38"/>
    <w:rsid w:val="00DA6D58"/>
    <w:rsid w:val="00DB41F0"/>
    <w:rsid w:val="00DB5CD8"/>
    <w:rsid w:val="00DB747F"/>
    <w:rsid w:val="00DC2C20"/>
    <w:rsid w:val="00DC5E64"/>
    <w:rsid w:val="00DC7398"/>
    <w:rsid w:val="00DD2582"/>
    <w:rsid w:val="00DD4232"/>
    <w:rsid w:val="00DE2411"/>
    <w:rsid w:val="00DF3353"/>
    <w:rsid w:val="00E01323"/>
    <w:rsid w:val="00E078EA"/>
    <w:rsid w:val="00E11B5B"/>
    <w:rsid w:val="00E20AA7"/>
    <w:rsid w:val="00E30C24"/>
    <w:rsid w:val="00E34E7F"/>
    <w:rsid w:val="00E4295D"/>
    <w:rsid w:val="00E51C4E"/>
    <w:rsid w:val="00E620E5"/>
    <w:rsid w:val="00E801BB"/>
    <w:rsid w:val="00E81B42"/>
    <w:rsid w:val="00E85F3D"/>
    <w:rsid w:val="00E86C7C"/>
    <w:rsid w:val="00E93911"/>
    <w:rsid w:val="00EA0910"/>
    <w:rsid w:val="00EA0F57"/>
    <w:rsid w:val="00EB227E"/>
    <w:rsid w:val="00EB30E0"/>
    <w:rsid w:val="00EC00F4"/>
    <w:rsid w:val="00EC089E"/>
    <w:rsid w:val="00EE1F32"/>
    <w:rsid w:val="00EE3EEC"/>
    <w:rsid w:val="00EE475D"/>
    <w:rsid w:val="00EF321B"/>
    <w:rsid w:val="00EF46DD"/>
    <w:rsid w:val="00F049EA"/>
    <w:rsid w:val="00F06C3E"/>
    <w:rsid w:val="00F11236"/>
    <w:rsid w:val="00F12C4D"/>
    <w:rsid w:val="00F15824"/>
    <w:rsid w:val="00F4150E"/>
    <w:rsid w:val="00F4612E"/>
    <w:rsid w:val="00F4738E"/>
    <w:rsid w:val="00F54FA8"/>
    <w:rsid w:val="00F604EC"/>
    <w:rsid w:val="00F610D1"/>
    <w:rsid w:val="00F6317C"/>
    <w:rsid w:val="00F63ABE"/>
    <w:rsid w:val="00F71073"/>
    <w:rsid w:val="00F714FF"/>
    <w:rsid w:val="00F7188E"/>
    <w:rsid w:val="00F8050A"/>
    <w:rsid w:val="00F82635"/>
    <w:rsid w:val="00F82E2C"/>
    <w:rsid w:val="00F90661"/>
    <w:rsid w:val="00F91521"/>
    <w:rsid w:val="00F93158"/>
    <w:rsid w:val="00F96C66"/>
    <w:rsid w:val="00FA2BD5"/>
    <w:rsid w:val="00FD3902"/>
    <w:rsid w:val="00FE2CAD"/>
    <w:rsid w:val="01830B3F"/>
    <w:rsid w:val="046E5C31"/>
    <w:rsid w:val="07A84F6A"/>
    <w:rsid w:val="0D4609C0"/>
    <w:rsid w:val="0EF678FE"/>
    <w:rsid w:val="0FE3302D"/>
    <w:rsid w:val="150A13C6"/>
    <w:rsid w:val="19EA540D"/>
    <w:rsid w:val="1A617B68"/>
    <w:rsid w:val="1A937CE3"/>
    <w:rsid w:val="1BE11E1F"/>
    <w:rsid w:val="1C4356F7"/>
    <w:rsid w:val="1C8347E8"/>
    <w:rsid w:val="1DAC263B"/>
    <w:rsid w:val="1E6F74A9"/>
    <w:rsid w:val="1F684B06"/>
    <w:rsid w:val="22353E33"/>
    <w:rsid w:val="23505961"/>
    <w:rsid w:val="265A443B"/>
    <w:rsid w:val="304C3170"/>
    <w:rsid w:val="317C13A0"/>
    <w:rsid w:val="31DB4042"/>
    <w:rsid w:val="333B6AEC"/>
    <w:rsid w:val="3A5F3A48"/>
    <w:rsid w:val="3BAB3D4B"/>
    <w:rsid w:val="42586FF3"/>
    <w:rsid w:val="43732300"/>
    <w:rsid w:val="445073B7"/>
    <w:rsid w:val="45282358"/>
    <w:rsid w:val="456731B2"/>
    <w:rsid w:val="4B307FF2"/>
    <w:rsid w:val="4B3D2E51"/>
    <w:rsid w:val="4D612981"/>
    <w:rsid w:val="4DB52985"/>
    <w:rsid w:val="5541628E"/>
    <w:rsid w:val="5AE31FC4"/>
    <w:rsid w:val="5B82763B"/>
    <w:rsid w:val="5E7468FC"/>
    <w:rsid w:val="64D4611E"/>
    <w:rsid w:val="663229D4"/>
    <w:rsid w:val="69D54728"/>
    <w:rsid w:val="6A9C4202"/>
    <w:rsid w:val="6D2A00B6"/>
    <w:rsid w:val="6FF643B0"/>
    <w:rsid w:val="704451A0"/>
    <w:rsid w:val="721860BF"/>
    <w:rsid w:val="726A66E2"/>
    <w:rsid w:val="75F83AA9"/>
    <w:rsid w:val="767E2956"/>
    <w:rsid w:val="79E14822"/>
    <w:rsid w:val="7E3050CA"/>
    <w:rsid w:val="7F4912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0"/>
    <w:pPr>
      <w:keepLines/>
      <w:pageBreakBefore/>
      <w:numPr>
        <w:ilvl w:val="0"/>
        <w:numId w:val="1"/>
      </w:numPr>
      <w:tabs>
        <w:tab w:val="left" w:pos="5760"/>
      </w:tabs>
      <w:spacing w:before="240" w:after="240"/>
      <w:jc w:val="center"/>
      <w:outlineLvl w:val="0"/>
    </w:pPr>
    <w:rPr>
      <w:rFonts w:eastAsia="黑体"/>
      <w:b/>
      <w:kern w:val="44"/>
      <w:sz w:val="32"/>
      <w:szCs w:val="20"/>
    </w:rPr>
  </w:style>
  <w:style w:type="paragraph" w:styleId="3">
    <w:name w:val="heading 2"/>
    <w:basedOn w:val="1"/>
    <w:next w:val="4"/>
    <w:link w:val="37"/>
    <w:qFormat/>
    <w:uiPriority w:val="0"/>
    <w:pPr>
      <w:keepLines/>
      <w:widowControl/>
      <w:spacing w:before="480" w:after="480"/>
      <w:outlineLvl w:val="1"/>
    </w:pPr>
    <w:rPr>
      <w:rFonts w:ascii="Arial" w:hAnsi="Arial" w:eastAsia="黑体"/>
      <w:b/>
      <w:color w:val="800000"/>
      <w:sz w:val="32"/>
      <w:szCs w:val="20"/>
    </w:rPr>
  </w:style>
  <w:style w:type="paragraph" w:styleId="5">
    <w:name w:val="heading 3"/>
    <w:basedOn w:val="1"/>
    <w:next w:val="6"/>
    <w:link w:val="38"/>
    <w:qFormat/>
    <w:uiPriority w:val="0"/>
    <w:pPr>
      <w:keepLines/>
      <w:widowControl/>
      <w:numPr>
        <w:ilvl w:val="1"/>
        <w:numId w:val="1"/>
      </w:numPr>
      <w:spacing w:before="120" w:after="120"/>
      <w:jc w:val="left"/>
      <w:outlineLvl w:val="2"/>
    </w:pPr>
    <w:rPr>
      <w:rFonts w:ascii="宋体" w:hAnsi="宋体"/>
      <w:b/>
      <w:color w:val="000000"/>
      <w:kern w:val="0"/>
      <w:sz w:val="24"/>
    </w:rPr>
  </w:style>
  <w:style w:type="paragraph" w:styleId="7">
    <w:name w:val="heading 4"/>
    <w:basedOn w:val="1"/>
    <w:next w:val="1"/>
    <w:link w:val="63"/>
    <w:qFormat/>
    <w:uiPriority w:val="0"/>
    <w:pPr>
      <w:keepNext/>
      <w:widowControl/>
      <w:spacing w:before="240" w:after="60"/>
      <w:ind w:left="1290" w:hanging="864"/>
      <w:jc w:val="left"/>
      <w:outlineLvl w:val="3"/>
    </w:pPr>
    <w:rPr>
      <w:rFonts w:ascii="楷体_GB2312" w:eastAsia="楷体_GB2312"/>
      <w:bCs/>
      <w:kern w:val="0"/>
      <w:sz w:val="24"/>
      <w:szCs w:val="20"/>
      <w:lang w:val="en-GB"/>
    </w:rPr>
  </w:style>
  <w:style w:type="paragraph" w:styleId="8">
    <w:name w:val="heading 5"/>
    <w:basedOn w:val="1"/>
    <w:next w:val="1"/>
    <w:link w:val="64"/>
    <w:qFormat/>
    <w:uiPriority w:val="0"/>
    <w:pPr>
      <w:keepNext/>
      <w:keepLines/>
      <w:spacing w:before="280" w:after="290" w:line="376" w:lineRule="auto"/>
      <w:ind w:left="1434" w:hanging="1008"/>
      <w:outlineLvl w:val="4"/>
    </w:pPr>
    <w:rPr>
      <w:b/>
      <w:bCs/>
      <w:sz w:val="28"/>
      <w:szCs w:val="28"/>
    </w:rPr>
  </w:style>
  <w:style w:type="paragraph" w:styleId="9">
    <w:name w:val="heading 6"/>
    <w:basedOn w:val="1"/>
    <w:next w:val="1"/>
    <w:link w:val="65"/>
    <w:qFormat/>
    <w:uiPriority w:val="0"/>
    <w:pPr>
      <w:keepNext/>
      <w:keepLines/>
      <w:spacing w:before="240" w:after="64" w:line="320" w:lineRule="auto"/>
      <w:ind w:left="1578" w:hanging="1152"/>
      <w:outlineLvl w:val="5"/>
    </w:pPr>
    <w:rPr>
      <w:rFonts w:ascii="Arial" w:hAnsi="Arial" w:eastAsia="黑体"/>
      <w:b/>
      <w:bCs/>
      <w:sz w:val="24"/>
    </w:rPr>
  </w:style>
  <w:style w:type="paragraph" w:styleId="10">
    <w:name w:val="heading 7"/>
    <w:basedOn w:val="1"/>
    <w:next w:val="1"/>
    <w:link w:val="66"/>
    <w:qFormat/>
    <w:uiPriority w:val="0"/>
    <w:pPr>
      <w:keepNext/>
      <w:keepLines/>
      <w:spacing w:before="240" w:after="64" w:line="320" w:lineRule="auto"/>
      <w:ind w:left="1722" w:hanging="1296"/>
      <w:outlineLvl w:val="6"/>
    </w:pPr>
    <w:rPr>
      <w:b/>
      <w:bCs/>
      <w:sz w:val="24"/>
    </w:rPr>
  </w:style>
  <w:style w:type="paragraph" w:styleId="11">
    <w:name w:val="heading 8"/>
    <w:basedOn w:val="1"/>
    <w:next w:val="1"/>
    <w:link w:val="67"/>
    <w:qFormat/>
    <w:uiPriority w:val="0"/>
    <w:pPr>
      <w:keepNext/>
      <w:keepLines/>
      <w:spacing w:before="240" w:after="64" w:line="320" w:lineRule="auto"/>
      <w:ind w:left="1866" w:hanging="1440"/>
      <w:outlineLvl w:val="7"/>
    </w:pPr>
    <w:rPr>
      <w:rFonts w:ascii="Arial" w:hAnsi="Arial" w:eastAsia="黑体"/>
      <w:sz w:val="24"/>
    </w:rPr>
  </w:style>
  <w:style w:type="paragraph" w:styleId="12">
    <w:name w:val="heading 9"/>
    <w:basedOn w:val="1"/>
    <w:next w:val="1"/>
    <w:link w:val="68"/>
    <w:qFormat/>
    <w:uiPriority w:val="0"/>
    <w:pPr>
      <w:keepNext/>
      <w:keepLines/>
      <w:spacing w:before="240" w:after="64" w:line="320" w:lineRule="auto"/>
      <w:ind w:left="2010" w:hanging="1584"/>
      <w:outlineLvl w:val="8"/>
    </w:pPr>
    <w:rPr>
      <w:rFonts w:ascii="Arial" w:hAnsi="Arial" w:eastAsia="黑体"/>
      <w:szCs w:val="21"/>
    </w:rPr>
  </w:style>
  <w:style w:type="character" w:default="1" w:styleId="29">
    <w:name w:val="Default Paragraph Font"/>
    <w:semiHidden/>
    <w:unhideWhenUsed/>
    <w:qFormat/>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numPr>
        <w:ilvl w:val="0"/>
        <w:numId w:val="2"/>
      </w:numPr>
      <w:tabs>
        <w:tab w:val="clear" w:pos="1260"/>
      </w:tabs>
      <w:adjustRightInd w:val="0"/>
      <w:spacing w:line="315" w:lineRule="atLeast"/>
      <w:ind w:left="0" w:firstLine="420"/>
      <w:jc w:val="left"/>
      <w:textAlignment w:val="baseline"/>
    </w:pPr>
    <w:rPr>
      <w:rFonts w:ascii="宋体"/>
      <w:kern w:val="0"/>
      <w:sz w:val="24"/>
      <w:szCs w:val="20"/>
    </w:rPr>
  </w:style>
  <w:style w:type="paragraph" w:customStyle="1" w:styleId="6">
    <w:name w:val="正文段"/>
    <w:basedOn w:val="1"/>
    <w:qFormat/>
    <w:uiPriority w:val="0"/>
    <w:pPr>
      <w:widowControl/>
      <w:snapToGrid w:val="0"/>
      <w:spacing w:after="240" w:line="240" w:lineRule="atLeast"/>
      <w:ind w:firstLine="425"/>
    </w:pPr>
    <w:rPr>
      <w:kern w:val="0"/>
      <w:sz w:val="24"/>
      <w:szCs w:val="20"/>
    </w:rPr>
  </w:style>
  <w:style w:type="paragraph" w:styleId="13">
    <w:name w:val="annotation subject"/>
    <w:basedOn w:val="14"/>
    <w:next w:val="14"/>
    <w:link w:val="58"/>
    <w:qFormat/>
    <w:uiPriority w:val="0"/>
    <w:rPr>
      <w:b/>
      <w:bCs/>
    </w:rPr>
  </w:style>
  <w:style w:type="paragraph" w:styleId="14">
    <w:name w:val="annotation text"/>
    <w:basedOn w:val="1"/>
    <w:link w:val="57"/>
    <w:qFormat/>
    <w:uiPriority w:val="0"/>
    <w:pPr>
      <w:jc w:val="left"/>
    </w:pPr>
  </w:style>
  <w:style w:type="paragraph" w:styleId="15">
    <w:name w:val="Document Map"/>
    <w:basedOn w:val="1"/>
    <w:link w:val="54"/>
    <w:semiHidden/>
    <w:qFormat/>
    <w:uiPriority w:val="0"/>
    <w:pPr>
      <w:shd w:val="clear" w:color="auto" w:fill="000080"/>
    </w:pPr>
  </w:style>
  <w:style w:type="paragraph" w:styleId="16">
    <w:name w:val="Body Text Indent"/>
    <w:basedOn w:val="1"/>
    <w:link w:val="49"/>
    <w:qFormat/>
    <w:uiPriority w:val="0"/>
    <w:pPr>
      <w:adjustRightInd w:val="0"/>
      <w:snapToGrid w:val="0"/>
      <w:spacing w:line="360" w:lineRule="auto"/>
      <w:ind w:firstLine="435"/>
    </w:pPr>
  </w:style>
  <w:style w:type="paragraph" w:styleId="17">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18">
    <w:name w:val="Date"/>
    <w:basedOn w:val="1"/>
    <w:next w:val="1"/>
    <w:link w:val="41"/>
    <w:qFormat/>
    <w:uiPriority w:val="0"/>
    <w:pPr>
      <w:adjustRightInd w:val="0"/>
      <w:spacing w:line="440" w:lineRule="exact"/>
      <w:textAlignment w:val="baseline"/>
    </w:pPr>
    <w:rPr>
      <w:rFonts w:ascii="仿宋_GB2312" w:eastAsia="仿宋_GB2312"/>
      <w:kern w:val="0"/>
      <w:sz w:val="28"/>
      <w:szCs w:val="20"/>
    </w:rPr>
  </w:style>
  <w:style w:type="paragraph" w:styleId="19">
    <w:name w:val="Body Text Indent 2"/>
    <w:basedOn w:val="1"/>
    <w:link w:val="50"/>
    <w:qFormat/>
    <w:uiPriority w:val="0"/>
    <w:pPr>
      <w:spacing w:line="360" w:lineRule="auto"/>
      <w:ind w:left="420"/>
    </w:pPr>
    <w:rPr>
      <w:rFonts w:ascii="宋体" w:hAnsi="宋体"/>
    </w:rPr>
  </w:style>
  <w:style w:type="paragraph" w:styleId="20">
    <w:name w:val="Balloon Text"/>
    <w:basedOn w:val="1"/>
    <w:link w:val="48"/>
    <w:semiHidden/>
    <w:qFormat/>
    <w:uiPriority w:val="0"/>
    <w:rPr>
      <w:sz w:val="18"/>
      <w:szCs w:val="18"/>
    </w:rPr>
  </w:style>
  <w:style w:type="paragraph" w:styleId="21">
    <w:name w:val="footer"/>
    <w:basedOn w:val="1"/>
    <w:link w:val="44"/>
    <w:qFormat/>
    <w:uiPriority w:val="99"/>
    <w:pPr>
      <w:tabs>
        <w:tab w:val="center" w:pos="4153"/>
        <w:tab w:val="right" w:pos="8306"/>
      </w:tabs>
      <w:adjustRightInd w:val="0"/>
      <w:spacing w:line="240" w:lineRule="atLeast"/>
      <w:jc w:val="left"/>
      <w:textAlignment w:val="baseline"/>
    </w:pPr>
    <w:rPr>
      <w:kern w:val="0"/>
      <w:sz w:val="18"/>
      <w:szCs w:val="20"/>
    </w:rPr>
  </w:style>
  <w:style w:type="paragraph" w:styleId="22">
    <w:name w:val="header"/>
    <w:basedOn w:val="1"/>
    <w:link w:val="43"/>
    <w:qFormat/>
    <w:uiPriority w:val="0"/>
    <w:pPr>
      <w:pBdr>
        <w:bottom w:val="single" w:color="auto" w:sz="6" w:space="1"/>
      </w:pBdr>
      <w:tabs>
        <w:tab w:val="center" w:pos="4153"/>
        <w:tab w:val="right" w:pos="8306"/>
      </w:tabs>
      <w:adjustRightInd w:val="0"/>
      <w:spacing w:line="240" w:lineRule="atLeast"/>
      <w:jc w:val="center"/>
      <w:textAlignment w:val="baseline"/>
    </w:pPr>
    <w:rPr>
      <w:kern w:val="0"/>
      <w:sz w:val="18"/>
      <w:szCs w:val="20"/>
    </w:rPr>
  </w:style>
  <w:style w:type="paragraph" w:styleId="23">
    <w:name w:val="toc 1"/>
    <w:basedOn w:val="1"/>
    <w:next w:val="1"/>
    <w:qFormat/>
    <w:uiPriority w:val="39"/>
    <w:pPr>
      <w:tabs>
        <w:tab w:val="left" w:pos="1260"/>
        <w:tab w:val="right" w:leader="dot" w:pos="8721"/>
      </w:tabs>
      <w:adjustRightInd w:val="0"/>
      <w:spacing w:before="120" w:after="120" w:line="440" w:lineRule="exact"/>
      <w:jc w:val="left"/>
      <w:textAlignment w:val="baseline"/>
    </w:pPr>
    <w:rPr>
      <w:rFonts w:ascii="宋体" w:hAnsi="宋体"/>
      <w:b/>
      <w:bCs/>
      <w:caps/>
      <w:kern w:val="0"/>
      <w:sz w:val="24"/>
    </w:rPr>
  </w:style>
  <w:style w:type="paragraph" w:styleId="24">
    <w:name w:val="Subtitle"/>
    <w:basedOn w:val="1"/>
    <w:next w:val="1"/>
    <w:link w:val="56"/>
    <w:qFormat/>
    <w:uiPriority w:val="0"/>
    <w:pPr>
      <w:spacing w:before="240" w:after="60" w:line="312" w:lineRule="auto"/>
      <w:jc w:val="center"/>
      <w:outlineLvl w:val="1"/>
    </w:pPr>
    <w:rPr>
      <w:rFonts w:ascii="Cambria" w:hAnsi="Cambria"/>
      <w:b/>
      <w:bCs/>
      <w:kern w:val="28"/>
      <w:sz w:val="32"/>
      <w:szCs w:val="32"/>
    </w:rPr>
  </w:style>
  <w:style w:type="paragraph" w:styleId="25">
    <w:name w:val="List"/>
    <w:basedOn w:val="1"/>
    <w:qFormat/>
    <w:uiPriority w:val="0"/>
    <w:pPr>
      <w:widowControl/>
      <w:tabs>
        <w:tab w:val="left" w:pos="1260"/>
      </w:tabs>
      <w:snapToGrid w:val="0"/>
      <w:spacing w:line="400" w:lineRule="exact"/>
      <w:ind w:left="1260" w:hanging="420"/>
      <w:jc w:val="left"/>
    </w:pPr>
    <w:rPr>
      <w:rFonts w:eastAsia="仿宋_GB2312"/>
      <w:color w:val="000000"/>
      <w:sz w:val="24"/>
    </w:rPr>
  </w:style>
  <w:style w:type="paragraph" w:styleId="26">
    <w:name w:val="Body Text Indent 3"/>
    <w:basedOn w:val="1"/>
    <w:link w:val="51"/>
    <w:qFormat/>
    <w:uiPriority w:val="0"/>
    <w:pPr>
      <w:spacing w:line="360" w:lineRule="auto"/>
      <w:ind w:left="420" w:leftChars="200" w:firstLine="420" w:firstLineChars="200"/>
    </w:pPr>
    <w:rPr>
      <w:rFonts w:ascii="宋体"/>
    </w:rPr>
  </w:style>
  <w:style w:type="paragraph" w:styleId="27">
    <w:name w:val="toc 2"/>
    <w:basedOn w:val="1"/>
    <w:next w:val="1"/>
    <w:qFormat/>
    <w:uiPriority w:val="39"/>
    <w:pPr>
      <w:adjustRightInd w:val="0"/>
      <w:spacing w:line="440" w:lineRule="exact"/>
      <w:ind w:left="240"/>
      <w:jc w:val="left"/>
      <w:textAlignment w:val="baseline"/>
    </w:pPr>
    <w:rPr>
      <w:smallCaps/>
      <w:kern w:val="0"/>
      <w:sz w:val="24"/>
    </w:rPr>
  </w:style>
  <w:style w:type="paragraph" w:styleId="28">
    <w:name w:val="Normal (Web)"/>
    <w:basedOn w:val="1"/>
    <w:unhideWhenUsed/>
    <w:qFormat/>
    <w:uiPriority w:val="99"/>
    <w:pPr>
      <w:widowControl/>
      <w:spacing w:before="100" w:beforeAutospacing="1" w:after="100" w:afterAutospacing="1"/>
      <w:jc w:val="left"/>
    </w:pPr>
    <w:rPr>
      <w:rFonts w:eastAsiaTheme="minorEastAsia"/>
      <w:kern w:val="0"/>
      <w:sz w:val="24"/>
    </w:rPr>
  </w:style>
  <w:style w:type="character" w:styleId="30">
    <w:name w:val="page number"/>
    <w:basedOn w:val="29"/>
    <w:qFormat/>
    <w:uiPriority w:val="0"/>
  </w:style>
  <w:style w:type="character" w:styleId="31">
    <w:name w:val="Hyperlink"/>
    <w:qFormat/>
    <w:uiPriority w:val="99"/>
    <w:rPr>
      <w:color w:val="0000FF"/>
      <w:u w:val="single"/>
    </w:rPr>
  </w:style>
  <w:style w:type="character" w:styleId="32">
    <w:name w:val="annotation reference"/>
    <w:qFormat/>
    <w:uiPriority w:val="0"/>
    <w:rPr>
      <w:sz w:val="21"/>
      <w:szCs w:val="21"/>
    </w:rPr>
  </w:style>
  <w:style w:type="character" w:styleId="33">
    <w:name w:val="footnote reference"/>
    <w:semiHidden/>
    <w:qFormat/>
    <w:uiPriority w:val="99"/>
    <w:rPr>
      <w:rFonts w:cs="Times New Roman"/>
      <w:vertAlign w:val="superscript"/>
    </w:rPr>
  </w:style>
  <w:style w:type="table" w:styleId="35">
    <w:name w:val="Table Grid"/>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6">
    <w:name w:val="标题 1 字符"/>
    <w:basedOn w:val="29"/>
    <w:link w:val="2"/>
    <w:qFormat/>
    <w:uiPriority w:val="0"/>
    <w:rPr>
      <w:rFonts w:ascii="Times New Roman" w:hAnsi="Times New Roman" w:eastAsia="黑体" w:cs="Times New Roman"/>
      <w:b/>
      <w:kern w:val="44"/>
      <w:sz w:val="32"/>
    </w:rPr>
  </w:style>
  <w:style w:type="character" w:customStyle="1" w:styleId="37">
    <w:name w:val="标题 2 字符"/>
    <w:basedOn w:val="29"/>
    <w:link w:val="3"/>
    <w:qFormat/>
    <w:uiPriority w:val="0"/>
    <w:rPr>
      <w:rFonts w:ascii="Arial" w:hAnsi="Arial" w:eastAsia="黑体" w:cs="Times New Roman"/>
      <w:b/>
      <w:color w:val="800000"/>
      <w:sz w:val="32"/>
      <w:szCs w:val="20"/>
    </w:rPr>
  </w:style>
  <w:style w:type="character" w:customStyle="1" w:styleId="38">
    <w:name w:val="标题 3 字符"/>
    <w:basedOn w:val="29"/>
    <w:link w:val="5"/>
    <w:qFormat/>
    <w:uiPriority w:val="0"/>
    <w:rPr>
      <w:rFonts w:ascii="宋体" w:hAnsi="宋体" w:eastAsia="宋体" w:cs="Times New Roman"/>
      <w:b/>
      <w:color w:val="000000"/>
      <w:sz w:val="24"/>
      <w:szCs w:val="24"/>
    </w:rPr>
  </w:style>
  <w:style w:type="paragraph" w:customStyle="1" w:styleId="39">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40">
    <w:name w:val="符号列表"/>
    <w:basedOn w:val="1"/>
    <w:qFormat/>
    <w:uiPriority w:val="0"/>
    <w:pPr>
      <w:numPr>
        <w:ilvl w:val="0"/>
        <w:numId w:val="3"/>
      </w:numPr>
      <w:adjustRightInd w:val="0"/>
      <w:spacing w:line="440" w:lineRule="exact"/>
      <w:textAlignment w:val="baseline"/>
    </w:pPr>
    <w:rPr>
      <w:kern w:val="0"/>
      <w:sz w:val="24"/>
      <w:szCs w:val="20"/>
    </w:rPr>
  </w:style>
  <w:style w:type="character" w:customStyle="1" w:styleId="41">
    <w:name w:val="日期 字符"/>
    <w:basedOn w:val="29"/>
    <w:link w:val="18"/>
    <w:qFormat/>
    <w:uiPriority w:val="0"/>
    <w:rPr>
      <w:rFonts w:ascii="仿宋_GB2312" w:hAnsi="Times New Roman" w:eastAsia="仿宋_GB2312" w:cs="Times New Roman"/>
      <w:kern w:val="0"/>
      <w:sz w:val="28"/>
      <w:szCs w:val="20"/>
    </w:rPr>
  </w:style>
  <w:style w:type="paragraph" w:customStyle="1" w:styleId="42">
    <w:name w:val="条例"/>
    <w:basedOn w:val="1"/>
    <w:qFormat/>
    <w:uiPriority w:val="0"/>
    <w:pPr>
      <w:keepLines/>
      <w:widowControl/>
      <w:adjustRightInd w:val="0"/>
      <w:spacing w:line="360" w:lineRule="exact"/>
      <w:ind w:left="360" w:right="78" w:rightChars="37"/>
      <w:textAlignment w:val="baseline"/>
    </w:pPr>
    <w:rPr>
      <w:rFonts w:ascii="仿宋_GB2312" w:eastAsia="仿宋_GB2312"/>
      <w:kern w:val="0"/>
      <w:sz w:val="28"/>
      <w:szCs w:val="28"/>
    </w:rPr>
  </w:style>
  <w:style w:type="character" w:customStyle="1" w:styleId="43">
    <w:name w:val="页眉 字符"/>
    <w:basedOn w:val="29"/>
    <w:link w:val="22"/>
    <w:qFormat/>
    <w:uiPriority w:val="0"/>
    <w:rPr>
      <w:rFonts w:ascii="Times New Roman" w:hAnsi="Times New Roman" w:eastAsia="宋体" w:cs="Times New Roman"/>
      <w:kern w:val="0"/>
      <w:sz w:val="18"/>
      <w:szCs w:val="20"/>
    </w:rPr>
  </w:style>
  <w:style w:type="character" w:customStyle="1" w:styleId="44">
    <w:name w:val="页脚 字符"/>
    <w:basedOn w:val="29"/>
    <w:link w:val="21"/>
    <w:qFormat/>
    <w:uiPriority w:val="99"/>
    <w:rPr>
      <w:rFonts w:ascii="Times New Roman" w:hAnsi="Times New Roman" w:eastAsia="宋体" w:cs="Times New Roman"/>
      <w:kern w:val="0"/>
      <w:sz w:val="18"/>
      <w:szCs w:val="20"/>
    </w:rPr>
  </w:style>
  <w:style w:type="paragraph" w:customStyle="1" w:styleId="45">
    <w:name w:val="Default Text"/>
    <w:basedOn w:val="1"/>
    <w:qFormat/>
    <w:uiPriority w:val="0"/>
    <w:pPr>
      <w:widowControl/>
      <w:overflowPunct w:val="0"/>
      <w:autoSpaceDE w:val="0"/>
      <w:autoSpaceDN w:val="0"/>
      <w:adjustRightInd w:val="0"/>
      <w:jc w:val="left"/>
      <w:textAlignment w:val="baseline"/>
    </w:pPr>
    <w:rPr>
      <w:kern w:val="0"/>
      <w:sz w:val="24"/>
      <w:szCs w:val="20"/>
      <w:lang w:val="en-GB"/>
    </w:rPr>
  </w:style>
  <w:style w:type="paragraph" w:customStyle="1" w:styleId="46">
    <w:name w:val="xl12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kern w:val="0"/>
      <w:szCs w:val="21"/>
    </w:rPr>
  </w:style>
  <w:style w:type="paragraph" w:customStyle="1" w:styleId="47">
    <w:name w:val="正文1"/>
    <w:basedOn w:val="1"/>
    <w:qFormat/>
    <w:uiPriority w:val="0"/>
    <w:pPr>
      <w:spacing w:before="120" w:after="120" w:line="360" w:lineRule="auto"/>
    </w:pPr>
    <w:rPr>
      <w:sz w:val="24"/>
      <w:szCs w:val="20"/>
    </w:rPr>
  </w:style>
  <w:style w:type="character" w:customStyle="1" w:styleId="48">
    <w:name w:val="批注框文本 字符"/>
    <w:basedOn w:val="29"/>
    <w:link w:val="20"/>
    <w:semiHidden/>
    <w:qFormat/>
    <w:uiPriority w:val="0"/>
    <w:rPr>
      <w:rFonts w:ascii="Times New Roman" w:hAnsi="Times New Roman" w:eastAsia="宋体" w:cs="Times New Roman"/>
      <w:sz w:val="18"/>
      <w:szCs w:val="18"/>
    </w:rPr>
  </w:style>
  <w:style w:type="character" w:customStyle="1" w:styleId="49">
    <w:name w:val="正文文本缩进 字符"/>
    <w:basedOn w:val="29"/>
    <w:link w:val="16"/>
    <w:qFormat/>
    <w:uiPriority w:val="0"/>
    <w:rPr>
      <w:rFonts w:ascii="Times New Roman" w:hAnsi="Times New Roman" w:eastAsia="宋体" w:cs="Times New Roman"/>
      <w:szCs w:val="24"/>
    </w:rPr>
  </w:style>
  <w:style w:type="character" w:customStyle="1" w:styleId="50">
    <w:name w:val="正文文本缩进 2 字符"/>
    <w:basedOn w:val="29"/>
    <w:link w:val="19"/>
    <w:qFormat/>
    <w:uiPriority w:val="0"/>
    <w:rPr>
      <w:rFonts w:ascii="宋体" w:hAnsi="宋体" w:eastAsia="宋体" w:cs="Times New Roman"/>
      <w:szCs w:val="24"/>
    </w:rPr>
  </w:style>
  <w:style w:type="character" w:customStyle="1" w:styleId="51">
    <w:name w:val="正文文本缩进 3 字符"/>
    <w:basedOn w:val="29"/>
    <w:link w:val="26"/>
    <w:qFormat/>
    <w:uiPriority w:val="0"/>
    <w:rPr>
      <w:rFonts w:ascii="宋体" w:hAnsi="Times New Roman" w:eastAsia="宋体" w:cs="Times New Roman"/>
      <w:szCs w:val="24"/>
    </w:rPr>
  </w:style>
  <w:style w:type="paragraph" w:customStyle="1" w:styleId="52">
    <w:name w:val="缩进列表项目符号"/>
    <w:basedOn w:val="4"/>
    <w:qFormat/>
    <w:uiPriority w:val="0"/>
    <w:pPr>
      <w:numPr>
        <w:numId w:val="4"/>
      </w:numPr>
      <w:tabs>
        <w:tab w:val="left" w:pos="425"/>
      </w:tabs>
      <w:adjustRightInd/>
      <w:spacing w:line="360" w:lineRule="auto"/>
      <w:ind w:firstLine="200" w:firstLineChars="200"/>
      <w:jc w:val="both"/>
      <w:textAlignment w:val="auto"/>
    </w:pPr>
    <w:rPr>
      <w:rFonts w:ascii="Times New Roman"/>
      <w:kern w:val="2"/>
      <w:szCs w:val="24"/>
    </w:rPr>
  </w:style>
  <w:style w:type="paragraph" w:customStyle="1" w:styleId="53">
    <w:name w:val="日期1"/>
    <w:basedOn w:val="1"/>
    <w:next w:val="1"/>
    <w:qFormat/>
    <w:uiPriority w:val="0"/>
    <w:pPr>
      <w:tabs>
        <w:tab w:val="left" w:pos="425"/>
      </w:tabs>
      <w:adjustRightInd w:val="0"/>
      <w:spacing w:line="312" w:lineRule="atLeast"/>
      <w:ind w:firstLine="480" w:firstLineChars="200"/>
      <w:textAlignment w:val="baseline"/>
    </w:pPr>
    <w:rPr>
      <w:kern w:val="0"/>
      <w:sz w:val="24"/>
    </w:rPr>
  </w:style>
  <w:style w:type="character" w:customStyle="1" w:styleId="54">
    <w:name w:val="文档结构图 字符"/>
    <w:basedOn w:val="29"/>
    <w:link w:val="15"/>
    <w:semiHidden/>
    <w:qFormat/>
    <w:uiPriority w:val="0"/>
    <w:rPr>
      <w:rFonts w:ascii="Times New Roman" w:hAnsi="Times New Roman" w:eastAsia="宋体" w:cs="Times New Roman"/>
      <w:szCs w:val="24"/>
      <w:shd w:val="clear" w:color="auto" w:fill="000080"/>
    </w:rPr>
  </w:style>
  <w:style w:type="paragraph" w:customStyle="1" w:styleId="55">
    <w:name w:val="网格表 31"/>
    <w:basedOn w:val="2"/>
    <w:next w:val="1"/>
    <w:unhideWhenUsed/>
    <w:qFormat/>
    <w:uiPriority w:val="39"/>
    <w:pPr>
      <w:keepNext/>
      <w:pageBreakBefore w:val="0"/>
      <w:widowControl/>
      <w:numPr>
        <w:numId w:val="0"/>
      </w:numPr>
      <w:tabs>
        <w:tab w:val="clear" w:pos="5760"/>
      </w:tabs>
      <w:spacing w:before="480" w:after="0" w:line="276" w:lineRule="auto"/>
      <w:jc w:val="left"/>
      <w:outlineLvl w:val="9"/>
    </w:pPr>
    <w:rPr>
      <w:rFonts w:ascii="Cambria" w:hAnsi="Cambria" w:eastAsia="宋体"/>
      <w:bCs/>
      <w:color w:val="365F91"/>
      <w:kern w:val="0"/>
      <w:sz w:val="28"/>
      <w:szCs w:val="28"/>
    </w:rPr>
  </w:style>
  <w:style w:type="character" w:customStyle="1" w:styleId="56">
    <w:name w:val="副标题 字符"/>
    <w:basedOn w:val="29"/>
    <w:link w:val="24"/>
    <w:qFormat/>
    <w:uiPriority w:val="0"/>
    <w:rPr>
      <w:rFonts w:ascii="Cambria" w:hAnsi="Cambria" w:eastAsia="宋体" w:cs="Times New Roman"/>
      <w:b/>
      <w:bCs/>
      <w:kern w:val="28"/>
      <w:sz w:val="32"/>
      <w:szCs w:val="32"/>
    </w:rPr>
  </w:style>
  <w:style w:type="character" w:customStyle="1" w:styleId="57">
    <w:name w:val="批注文字 字符"/>
    <w:basedOn w:val="29"/>
    <w:link w:val="14"/>
    <w:qFormat/>
    <w:uiPriority w:val="0"/>
    <w:rPr>
      <w:rFonts w:ascii="Times New Roman" w:hAnsi="Times New Roman" w:eastAsia="宋体" w:cs="Times New Roman"/>
      <w:szCs w:val="24"/>
    </w:rPr>
  </w:style>
  <w:style w:type="character" w:customStyle="1" w:styleId="58">
    <w:name w:val="批注主题 字符"/>
    <w:basedOn w:val="57"/>
    <w:link w:val="13"/>
    <w:qFormat/>
    <w:uiPriority w:val="0"/>
    <w:rPr>
      <w:rFonts w:ascii="Times New Roman" w:hAnsi="Times New Roman" w:eastAsia="宋体" w:cs="Times New Roman"/>
      <w:b/>
      <w:bCs/>
      <w:szCs w:val="24"/>
    </w:rPr>
  </w:style>
  <w:style w:type="paragraph" w:customStyle="1" w:styleId="59">
    <w:name w:val="列出段落1"/>
    <w:basedOn w:val="1"/>
    <w:link w:val="60"/>
    <w:qFormat/>
    <w:uiPriority w:val="34"/>
    <w:pPr>
      <w:ind w:firstLine="420" w:firstLineChars="200"/>
    </w:pPr>
  </w:style>
  <w:style w:type="character" w:customStyle="1" w:styleId="60">
    <w:name w:val="列出段落 Char"/>
    <w:link w:val="59"/>
    <w:qFormat/>
    <w:uiPriority w:val="0"/>
    <w:rPr>
      <w:rFonts w:ascii="Times New Roman" w:hAnsi="Times New Roman" w:eastAsia="宋体" w:cs="Times New Roman"/>
      <w:szCs w:val="24"/>
    </w:rPr>
  </w:style>
  <w:style w:type="paragraph" w:styleId="61">
    <w:name w:val="List Paragraph"/>
    <w:basedOn w:val="1"/>
    <w:qFormat/>
    <w:uiPriority w:val="34"/>
    <w:pPr>
      <w:ind w:firstLine="420" w:firstLineChars="200"/>
    </w:pPr>
  </w:style>
  <w:style w:type="paragraph" w:customStyle="1" w:styleId="62">
    <w:name w:val="p16"/>
    <w:basedOn w:val="1"/>
    <w:qFormat/>
    <w:uiPriority w:val="0"/>
    <w:pPr>
      <w:widowControl/>
      <w:adjustRightInd w:val="0"/>
      <w:spacing w:line="360" w:lineRule="atLeast"/>
      <w:ind w:left="360" w:right="78"/>
    </w:pPr>
    <w:rPr>
      <w:rFonts w:ascii="宋体" w:hAnsi="宋体" w:cs="宋体"/>
      <w:color w:val="000000"/>
      <w:kern w:val="0"/>
      <w:sz w:val="28"/>
      <w:szCs w:val="28"/>
    </w:rPr>
  </w:style>
  <w:style w:type="character" w:customStyle="1" w:styleId="63">
    <w:name w:val="标题 4 字符"/>
    <w:basedOn w:val="29"/>
    <w:link w:val="7"/>
    <w:qFormat/>
    <w:uiPriority w:val="0"/>
    <w:rPr>
      <w:rFonts w:ascii="楷体_GB2312" w:hAnsi="Times New Roman" w:eastAsia="楷体_GB2312" w:cs="Times New Roman"/>
      <w:bCs/>
      <w:sz w:val="24"/>
      <w:lang w:val="en-GB"/>
    </w:rPr>
  </w:style>
  <w:style w:type="character" w:customStyle="1" w:styleId="64">
    <w:name w:val="标题 5 字符"/>
    <w:basedOn w:val="29"/>
    <w:link w:val="8"/>
    <w:qFormat/>
    <w:uiPriority w:val="0"/>
    <w:rPr>
      <w:rFonts w:ascii="Times New Roman" w:hAnsi="Times New Roman" w:eastAsia="宋体" w:cs="Times New Roman"/>
      <w:b/>
      <w:bCs/>
      <w:kern w:val="2"/>
      <w:sz w:val="28"/>
      <w:szCs w:val="28"/>
    </w:rPr>
  </w:style>
  <w:style w:type="character" w:customStyle="1" w:styleId="65">
    <w:name w:val="标题 6 字符"/>
    <w:basedOn w:val="29"/>
    <w:link w:val="9"/>
    <w:qFormat/>
    <w:uiPriority w:val="0"/>
    <w:rPr>
      <w:rFonts w:ascii="Arial" w:hAnsi="Arial" w:eastAsia="黑体" w:cs="Times New Roman"/>
      <w:b/>
      <w:bCs/>
      <w:kern w:val="2"/>
      <w:sz w:val="24"/>
      <w:szCs w:val="24"/>
    </w:rPr>
  </w:style>
  <w:style w:type="character" w:customStyle="1" w:styleId="66">
    <w:name w:val="标题 7 字符"/>
    <w:basedOn w:val="29"/>
    <w:link w:val="10"/>
    <w:qFormat/>
    <w:uiPriority w:val="0"/>
    <w:rPr>
      <w:rFonts w:ascii="Times New Roman" w:hAnsi="Times New Roman" w:eastAsia="宋体" w:cs="Times New Roman"/>
      <w:b/>
      <w:bCs/>
      <w:kern w:val="2"/>
      <w:sz w:val="24"/>
      <w:szCs w:val="24"/>
    </w:rPr>
  </w:style>
  <w:style w:type="character" w:customStyle="1" w:styleId="67">
    <w:name w:val="标题 8 字符"/>
    <w:basedOn w:val="29"/>
    <w:link w:val="11"/>
    <w:qFormat/>
    <w:uiPriority w:val="0"/>
    <w:rPr>
      <w:rFonts w:ascii="Arial" w:hAnsi="Arial" w:eastAsia="黑体" w:cs="Times New Roman"/>
      <w:kern w:val="2"/>
      <w:sz w:val="24"/>
      <w:szCs w:val="24"/>
    </w:rPr>
  </w:style>
  <w:style w:type="character" w:customStyle="1" w:styleId="68">
    <w:name w:val="标题 9 字符"/>
    <w:basedOn w:val="29"/>
    <w:link w:val="12"/>
    <w:qFormat/>
    <w:uiPriority w:val="0"/>
    <w:rPr>
      <w:rFonts w:ascii="Arial" w:hAnsi="Arial" w:eastAsia="黑体" w:cs="Times New Roman"/>
      <w:kern w:val="2"/>
      <w:sz w:val="21"/>
      <w:szCs w:val="21"/>
    </w:rPr>
  </w:style>
  <w:style w:type="paragraph" w:customStyle="1" w:styleId="69">
    <w:name w:val="文档正文"/>
    <w:basedOn w:val="1"/>
    <w:link w:val="70"/>
    <w:qFormat/>
    <w:uiPriority w:val="0"/>
    <w:pPr>
      <w:autoSpaceDE w:val="0"/>
      <w:autoSpaceDN w:val="0"/>
      <w:adjustRightInd w:val="0"/>
      <w:spacing w:line="480" w:lineRule="atLeast"/>
      <w:ind w:firstLine="567"/>
      <w:textAlignment w:val="baseline"/>
    </w:pPr>
    <w:rPr>
      <w:kern w:val="0"/>
      <w:sz w:val="28"/>
      <w:szCs w:val="20"/>
    </w:rPr>
  </w:style>
  <w:style w:type="character" w:customStyle="1" w:styleId="70">
    <w:name w:val="文档正文 Char"/>
    <w:link w:val="69"/>
    <w:qFormat/>
    <w:uiPriority w:val="0"/>
    <w:rPr>
      <w:rFonts w:ascii="Times New Roman" w:hAnsi="Times New Roman" w:eastAsia="宋体" w:cs="Times New Roman"/>
      <w:sz w:val="28"/>
    </w:rPr>
  </w:style>
  <w:style w:type="paragraph" w:styleId="71">
    <w:name w:val="No Spacing"/>
    <w:qFormat/>
    <w:uiPriority w:val="1"/>
    <w:rPr>
      <w:rFonts w:ascii="Times New Roman" w:hAnsi="Times New Roman" w:eastAsia="宋体" w:cs="Times New Roman"/>
      <w:sz w:val="24"/>
      <w:szCs w:val="24"/>
      <w:lang w:val="en-US" w:eastAsia="zh-CN" w:bidi="ar-SA"/>
    </w:rPr>
  </w:style>
  <w:style w:type="character" w:customStyle="1" w:styleId="72">
    <w:name w:val="font151"/>
    <w:basedOn w:val="29"/>
    <w:qFormat/>
    <w:uiPriority w:val="0"/>
    <w:rPr>
      <w:rFonts w:hint="eastAsia" w:ascii="宋体" w:hAnsi="宋体" w:eastAsia="宋体" w:cs="宋体"/>
      <w:color w:val="000000"/>
      <w:sz w:val="20"/>
      <w:szCs w:val="20"/>
      <w:u w:val="none"/>
    </w:rPr>
  </w:style>
  <w:style w:type="character" w:customStyle="1" w:styleId="73">
    <w:name w:val="font91"/>
    <w:basedOn w:val="29"/>
    <w:qFormat/>
    <w:uiPriority w:val="0"/>
    <w:rPr>
      <w:rFonts w:hint="default" w:ascii="Arial" w:hAnsi="Arial" w:cs="Arial"/>
      <w:color w:val="000000"/>
      <w:sz w:val="20"/>
      <w:szCs w:val="20"/>
      <w:u w:val="none"/>
    </w:rPr>
  </w:style>
  <w:style w:type="character" w:customStyle="1" w:styleId="74">
    <w:name w:val="font121"/>
    <w:basedOn w:val="29"/>
    <w:qFormat/>
    <w:uiPriority w:val="0"/>
    <w:rPr>
      <w:rFonts w:hint="eastAsia" w:ascii="宋体" w:hAnsi="宋体" w:eastAsia="宋体" w:cs="宋体"/>
      <w:color w:val="000000"/>
      <w:sz w:val="20"/>
      <w:szCs w:val="20"/>
      <w:u w:val="none"/>
    </w:rPr>
  </w:style>
  <w:style w:type="character" w:customStyle="1" w:styleId="75">
    <w:name w:val="font11"/>
    <w:basedOn w:val="2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2610</Words>
  <Characters>14878</Characters>
  <Lines>123</Lines>
  <Paragraphs>34</Paragraphs>
  <TotalTime>5</TotalTime>
  <ScaleCrop>false</ScaleCrop>
  <LinksUpToDate>false</LinksUpToDate>
  <CharactersWithSpaces>17454</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2017-06-14T01:54:00Z</dcterms:created>
  <dc:creator>Auser</dc:creator>
  <cp:lastModifiedBy>顾小妹</cp:lastModifiedBy>
  <dcterms:modified xsi:type="dcterms:W3CDTF">2019-07-05T00:34:58Z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